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bookmarkStart w:id="0" w:name="bookmark1"/>
      <w:bookmarkStart w:id="1" w:name="bookmark0"/>
      <w:bookmarkStart w:id="2" w:name="bookmark2"/>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52"/>
          <w:szCs w:val="32"/>
        </w:rPr>
        <w:t>内蒙古美术职业院</w:t>
      </w:r>
      <w:r>
        <w:rPr>
          <w:rFonts w:hint="eastAsia" w:ascii="方正小标宋简体" w:hAnsi="方正小标宋简体" w:eastAsia="方正小标宋简体" w:cs="方正小标宋简体"/>
          <w:b/>
          <w:bCs/>
          <w:sz w:val="52"/>
        </w:rPr>
        <w:t>人才培养方案</w:t>
      </w: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rPr>
          <w:rFonts w:hint="eastAsia" w:ascii="楷体_GB2312" w:hAnsi="宋体" w:eastAsia="楷体_GB2312"/>
          <w:b/>
          <w:bCs/>
          <w:color w:val="000000"/>
          <w:sz w:val="44"/>
        </w:rPr>
      </w:pPr>
    </w:p>
    <w:p>
      <w:pPr>
        <w:ind w:firstLine="1285" w:firstLineChars="400"/>
        <w:jc w:val="both"/>
        <w:rPr>
          <w:rFonts w:hint="eastAsia" w:ascii="楷体_GB2312" w:hAnsi="宋体" w:eastAsia="楷体_GB2312"/>
          <w:color w:val="000000"/>
          <w:sz w:val="28"/>
        </w:rPr>
      </w:pPr>
      <w:r>
        <w:rPr>
          <w:rFonts w:hint="eastAsia" w:ascii="仿宋" w:hAnsi="仿宋" w:eastAsia="仿宋" w:cs="仿宋"/>
          <w:b/>
          <w:bCs/>
          <w:sz w:val="32"/>
        </w:rPr>
        <w:t>专业学院(章)</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lang w:val="en-US" w:eastAsia="zh-CN"/>
        </w:rPr>
        <w:t xml:space="preserve">   计算机电子商务学院</w:t>
      </w:r>
      <w:r>
        <w:rPr>
          <w:rFonts w:hint="eastAsia" w:ascii="宋体"/>
          <w:b/>
          <w:sz w:val="32"/>
          <w:u w:val="single"/>
          <w:lang w:val="en-US" w:eastAsia="zh-CN"/>
        </w:rPr>
        <w:t xml:space="preserve">  </w:t>
      </w:r>
    </w:p>
    <w:p>
      <w:pPr>
        <w:ind w:firstLine="1285" w:firstLineChars="400"/>
        <w:jc w:val="both"/>
        <w:rPr>
          <w:rFonts w:hint="default" w:ascii="宋体" w:eastAsia="宋体"/>
          <w:b/>
          <w:sz w:val="32"/>
          <w:u w:val="single"/>
          <w:lang w:val="en-US" w:eastAsia="zh-CN"/>
        </w:rPr>
      </w:pPr>
      <w:r>
        <w:rPr>
          <w:rFonts w:hint="eastAsia" w:ascii="仿宋" w:hAnsi="仿宋" w:eastAsia="仿宋" w:cs="仿宋"/>
          <w:b/>
          <w:bCs/>
          <w:sz w:val="32"/>
        </w:rPr>
        <w:t>专        业</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lang w:val="en-US" w:eastAsia="zh-CN"/>
        </w:rPr>
        <w:t xml:space="preserve">   网络营销与直播电商</w:t>
      </w:r>
      <w:r>
        <w:rPr>
          <w:rFonts w:hint="eastAsia" w:ascii="仿宋" w:hAnsi="仿宋" w:eastAsia="仿宋" w:cs="仿宋"/>
          <w:b/>
          <w:bCs/>
          <w:sz w:val="32"/>
          <w:u w:val="single"/>
          <w:lang w:val="en-US" w:eastAsia="zh-CN"/>
        </w:rPr>
        <w:t xml:space="preserve">  </w:t>
      </w:r>
    </w:p>
    <w:p>
      <w:pPr>
        <w:ind w:firstLine="1285" w:firstLineChars="400"/>
        <w:jc w:val="both"/>
        <w:rPr>
          <w:rFonts w:hint="eastAsia" w:ascii="楷体_GB2312" w:hAnsi="宋体" w:eastAsia="楷体_GB2312"/>
          <w:b/>
          <w:bCs/>
          <w:color w:val="000000"/>
          <w:sz w:val="32"/>
          <w:u w:val="single"/>
          <w:lang w:val="en-US" w:eastAsia="zh-CN"/>
        </w:rPr>
      </w:pPr>
      <w:r>
        <w:rPr>
          <w:rFonts w:hint="eastAsia" w:ascii="仿宋" w:hAnsi="仿宋" w:eastAsia="仿宋" w:cs="仿宋"/>
          <w:b/>
          <w:bCs/>
          <w:sz w:val="32"/>
          <w:lang w:val="en-US" w:eastAsia="zh-CN"/>
        </w:rPr>
        <w:t>年        级</w:t>
      </w:r>
      <w:r>
        <w:rPr>
          <w:rFonts w:hint="eastAsia" w:ascii="宋体" w:eastAsia="宋体"/>
          <w:b/>
          <w:sz w:val="32"/>
          <w:u w:val="none"/>
          <w:lang w:val="en-US" w:eastAsia="zh-CN"/>
        </w:rPr>
        <w:t>：</w:t>
      </w:r>
      <w:r>
        <w:rPr>
          <w:rFonts w:hint="eastAsia" w:ascii="宋体" w:eastAsia="宋体"/>
          <w:b/>
          <w:sz w:val="32"/>
          <w:u w:val="single"/>
          <w:lang w:val="en-US" w:eastAsia="zh-CN"/>
        </w:rPr>
        <w:t xml:space="preserve">    </w:t>
      </w:r>
      <w:r>
        <w:rPr>
          <w:rFonts w:hint="eastAsia" w:ascii="宋体"/>
          <w:b/>
          <w:sz w:val="32"/>
          <w:u w:val="single"/>
          <w:lang w:val="en-US" w:eastAsia="zh-CN"/>
        </w:rPr>
        <w:t xml:space="preserve">     </w:t>
      </w:r>
      <w:r>
        <w:rPr>
          <w:rFonts w:hint="eastAsia" w:ascii="仿宋" w:hAnsi="仿宋" w:eastAsia="仿宋" w:cs="仿宋"/>
          <w:b/>
          <w:bCs/>
          <w:sz w:val="32"/>
          <w:u w:val="single"/>
          <w:lang w:val="en-US" w:eastAsia="zh-CN"/>
        </w:rPr>
        <w:t xml:space="preserve">2022级  </w:t>
      </w:r>
      <w:r>
        <w:rPr>
          <w:rFonts w:hint="eastAsia" w:ascii="宋体"/>
          <w:b/>
          <w:sz w:val="32"/>
          <w:u w:val="single"/>
          <w:lang w:val="en-US" w:eastAsia="zh-CN"/>
        </w:rPr>
        <w:t xml:space="preserve">     </w:t>
      </w:r>
    </w:p>
    <w:p>
      <w:pPr>
        <w:ind w:firstLine="1285" w:firstLineChars="400"/>
        <w:jc w:val="left"/>
        <w:rPr>
          <w:rFonts w:hint="default" w:ascii="楷体_GB2312" w:hAnsi="宋体" w:eastAsia="楷体_GB2312"/>
          <w:b/>
          <w:bCs/>
          <w:color w:val="000000"/>
          <w:sz w:val="32"/>
          <w:u w:val="single"/>
          <w:lang w:val="en-US"/>
        </w:rPr>
      </w:pPr>
      <w:r>
        <w:rPr>
          <w:rFonts w:hint="eastAsia" w:ascii="仿宋" w:hAnsi="仿宋" w:eastAsia="仿宋" w:cs="仿宋"/>
          <w:b/>
          <w:bCs/>
          <w:sz w:val="32"/>
          <w:lang w:val="en-US" w:eastAsia="zh-CN"/>
        </w:rPr>
        <w:t>修 业 年  限</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rPr>
        <w:t xml:space="preserve"> </w:t>
      </w:r>
      <w:r>
        <w:rPr>
          <w:rFonts w:hint="eastAsia" w:ascii="楷体_GB2312" w:hAnsi="宋体" w:eastAsia="楷体_GB2312"/>
          <w:b/>
          <w:bCs/>
          <w:color w:val="000000"/>
          <w:sz w:val="32"/>
          <w:u w:val="single"/>
          <w:lang w:val="en-US" w:eastAsia="zh-CN"/>
        </w:rPr>
        <w:t xml:space="preserve">   </w:t>
      </w:r>
      <w:r>
        <w:rPr>
          <w:rFonts w:hint="eastAsia" w:ascii="仿宋" w:hAnsi="仿宋" w:eastAsia="仿宋" w:cs="仿宋"/>
          <w:b/>
          <w:bCs/>
          <w:sz w:val="32"/>
          <w:u w:val="single"/>
          <w:lang w:val="en-US" w:eastAsia="zh-CN"/>
        </w:rPr>
        <w:t xml:space="preserve">      3年        </w:t>
      </w:r>
      <w:r>
        <w:rPr>
          <w:rFonts w:hint="eastAsia" w:ascii="楷体_GB2312" w:hAnsi="宋体" w:eastAsia="楷体_GB2312"/>
          <w:b/>
          <w:bCs/>
          <w:color w:val="000000"/>
          <w:sz w:val="32"/>
          <w:u w:val="single"/>
          <w:lang w:val="en-US" w:eastAsia="zh-CN"/>
        </w:rPr>
        <w:t xml:space="preserve"> </w:t>
      </w:r>
    </w:p>
    <w:p>
      <w:pPr>
        <w:rPr>
          <w:rFonts w:hint="eastAsia"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hint="eastAsia" w:ascii="楷体_GB2312" w:hAnsi="宋体" w:eastAsia="楷体_GB2312"/>
          <w:b/>
          <w:bCs/>
          <w:color w:val="000000"/>
          <w:sz w:val="32"/>
          <w:highlight w:val="yellow"/>
        </w:rPr>
      </w:pPr>
    </w:p>
    <w:p>
      <w:pPr>
        <w:ind w:firstLine="1928" w:firstLineChars="600"/>
        <w:jc w:val="both"/>
        <w:rPr>
          <w:rFonts w:hint="eastAsia" w:ascii="仿宋" w:hAnsi="仿宋" w:eastAsia="仿宋" w:cs="仿宋"/>
          <w:b/>
          <w:bCs/>
          <w:sz w:val="32"/>
          <w:lang w:eastAsia="zh-CN"/>
        </w:rPr>
      </w:pPr>
      <w:r>
        <w:rPr>
          <w:rFonts w:hint="eastAsia" w:ascii="楷体_GB2312" w:hAnsi="宋体" w:eastAsia="楷体_GB2312"/>
          <w:b/>
          <w:bCs/>
          <w:color w:val="000000"/>
          <w:sz w:val="32"/>
          <w:highlight w:val="none"/>
        </w:rPr>
        <w:t xml:space="preserve"> </w:t>
      </w:r>
      <w:r>
        <w:rPr>
          <w:rFonts w:hint="eastAsia" w:ascii="仿宋" w:hAnsi="仿宋" w:eastAsia="仿宋" w:cs="仿宋"/>
          <w:b/>
          <w:bCs/>
          <w:sz w:val="32"/>
          <w:lang w:eastAsia="zh-CN"/>
        </w:rPr>
        <w:t>制定日期：  20</w:t>
      </w:r>
      <w:r>
        <w:rPr>
          <w:rFonts w:hint="eastAsia" w:ascii="仿宋" w:hAnsi="仿宋" w:eastAsia="仿宋" w:cs="仿宋"/>
          <w:b/>
          <w:bCs/>
          <w:sz w:val="32"/>
          <w:lang w:val="en-US" w:eastAsia="zh-CN"/>
        </w:rPr>
        <w:t>21</w:t>
      </w:r>
      <w:r>
        <w:rPr>
          <w:rFonts w:hint="eastAsia" w:ascii="仿宋" w:hAnsi="仿宋" w:eastAsia="仿宋" w:cs="仿宋"/>
          <w:b/>
          <w:bCs/>
          <w:sz w:val="32"/>
          <w:lang w:eastAsia="zh-CN"/>
        </w:rPr>
        <w:t xml:space="preserve">年 </w:t>
      </w:r>
      <w:r>
        <w:rPr>
          <w:rFonts w:hint="eastAsia" w:ascii="仿宋" w:hAnsi="仿宋" w:eastAsia="仿宋" w:cs="仿宋"/>
          <w:b/>
          <w:bCs/>
          <w:sz w:val="32"/>
          <w:lang w:val="en-US" w:eastAsia="zh-CN"/>
        </w:rPr>
        <w:t>8</w:t>
      </w:r>
      <w:r>
        <w:rPr>
          <w:rFonts w:hint="eastAsia" w:ascii="仿宋" w:hAnsi="仿宋" w:eastAsia="仿宋" w:cs="仿宋"/>
          <w:b/>
          <w:bCs/>
          <w:sz w:val="32"/>
          <w:lang w:eastAsia="zh-CN"/>
        </w:rPr>
        <w:t>月</w:t>
      </w:r>
      <w:r>
        <w:rPr>
          <w:rFonts w:hint="eastAsia" w:ascii="仿宋" w:hAnsi="仿宋" w:eastAsia="仿宋" w:cs="仿宋"/>
          <w:b/>
          <w:bCs/>
          <w:sz w:val="32"/>
          <w:lang w:val="en-US" w:eastAsia="zh-CN"/>
        </w:rPr>
        <w:t>15</w:t>
      </w:r>
      <w:r>
        <w:rPr>
          <w:rFonts w:hint="eastAsia" w:ascii="仿宋" w:hAnsi="仿宋" w:eastAsia="仿宋" w:cs="仿宋"/>
          <w:b/>
          <w:bCs/>
          <w:sz w:val="32"/>
          <w:lang w:eastAsia="zh-CN"/>
        </w:rPr>
        <w:t>日</w:t>
      </w:r>
    </w:p>
    <w:p>
      <w:pPr>
        <w:ind w:firstLine="1928" w:firstLineChars="600"/>
        <w:jc w:val="both"/>
        <w:rPr>
          <w:rFonts w:hint="eastAsia" w:ascii="楷体_GB2312" w:hAnsi="宋体" w:eastAsia="楷体_GB2312"/>
          <w:b/>
          <w:bCs/>
          <w:color w:val="000000"/>
          <w:sz w:val="32"/>
          <w:highlight w:val="none"/>
        </w:rPr>
      </w:pPr>
    </w:p>
    <w:p>
      <w:pPr>
        <w:jc w:val="both"/>
        <w:rPr>
          <w:rFonts w:hint="eastAsia" w:ascii="楷体_GB2312" w:hAnsi="宋体" w:eastAsia="楷体_GB2312"/>
          <w:b/>
          <w:bCs/>
          <w:color w:val="000000"/>
          <w:sz w:val="32"/>
          <w:highlight w:val="none"/>
        </w:rPr>
      </w:pPr>
    </w:p>
    <w:bookmarkEnd w:id="0"/>
    <w:bookmarkEnd w:id="1"/>
    <w:bookmarkEnd w:id="2"/>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jc w:val="center"/>
        <w:textAlignment w:val="auto"/>
        <w:rPr>
          <w:rFonts w:hint="eastAsia" w:ascii="宋体" w:hAnsi="宋体" w:eastAsia="宋体" w:cs="宋体"/>
          <w:b/>
          <w:bCs/>
          <w:kern w:val="2"/>
          <w:sz w:val="32"/>
          <w:szCs w:val="32"/>
          <w:u w:val="none"/>
          <w:shd w:val="clear"/>
          <w:lang w:val="en-US" w:eastAsia="zh-CN" w:bidi="ar-SA"/>
        </w:rPr>
      </w:pPr>
      <w:r>
        <w:rPr>
          <w:rFonts w:hint="eastAsia" w:ascii="宋体" w:hAnsi="宋体" w:eastAsia="宋体" w:cs="宋体"/>
          <w:b/>
          <w:bCs/>
          <w:sz w:val="32"/>
          <w:szCs w:val="32"/>
          <w:lang w:val="en-US" w:eastAsia="zh-CN"/>
        </w:rPr>
        <w:t>网络营销与直播电商</w:t>
      </w:r>
      <w:r>
        <w:rPr>
          <w:rFonts w:hint="eastAsia" w:ascii="宋体" w:hAnsi="宋体" w:eastAsia="宋体" w:cs="宋体"/>
          <w:b/>
          <w:bCs/>
          <w:kern w:val="2"/>
          <w:sz w:val="32"/>
          <w:szCs w:val="32"/>
          <w:u w:val="none"/>
          <w:shd w:val="clear"/>
          <w:lang w:val="en-US" w:eastAsia="zh-CN" w:bidi="ar-SA"/>
        </w:rPr>
        <w:t>专业人才培养方案</w:t>
      </w:r>
      <w:bookmarkStart w:id="3" w:name="bookmark4"/>
      <w:bookmarkStart w:id="4" w:name="bookmark3"/>
      <w:bookmarkStart w:id="5" w:name="bookmark5"/>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jc w:val="center"/>
        <w:textAlignment w:val="auto"/>
        <w:rPr>
          <w:rFonts w:hint="eastAsia" w:ascii="宋体" w:hAnsi="宋体" w:cs="宋体"/>
          <w:b/>
          <w:bCs/>
          <w:sz w:val="28"/>
          <w:szCs w:val="28"/>
          <w:lang w:val="en-US"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cs="宋体"/>
          <w:b/>
          <w:bCs/>
          <w:sz w:val="28"/>
          <w:szCs w:val="28"/>
          <w:lang w:eastAsia="zh-CN"/>
        </w:rPr>
        <w:t>年制）</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一</w:t>
      </w:r>
      <w:r>
        <w:rPr>
          <w:rFonts w:hint="eastAsia" w:ascii="仿宋_GB2312" w:hAnsi="仿宋_GB2312" w:eastAsia="仿宋_GB2312" w:cs="仿宋_GB2312"/>
          <w:b/>
          <w:bCs/>
          <w:kern w:val="2"/>
          <w:sz w:val="28"/>
          <w:szCs w:val="28"/>
          <w:u w:val="none"/>
          <w:shd w:val="clear"/>
          <w:lang w:val="zh-CN" w:eastAsia="zh-CN" w:bidi="ar-SA"/>
        </w:rPr>
        <w:t>、专业名称（专业代码）</w:t>
      </w:r>
      <w:bookmarkEnd w:id="3"/>
      <w:bookmarkEnd w:id="4"/>
      <w:bookmarkEnd w:id="5"/>
    </w:p>
    <w:p>
      <w:pPr>
        <w:keepNext w:val="0"/>
        <w:keepLines w:val="0"/>
        <w:pageBreakBefore w:val="0"/>
        <w:kinsoku/>
        <w:wordWrap/>
        <w:overflowPunct/>
        <w:topLinePunct w:val="0"/>
        <w:autoSpaceDE/>
        <w:autoSpaceDN/>
        <w:bidi w:val="0"/>
        <w:adjustRightInd w:val="0"/>
        <w:snapToGrid w:val="0"/>
        <w:spacing w:line="480" w:lineRule="exact"/>
        <w:ind w:left="3919" w:leftChars="266" w:hanging="3360" w:hangingChars="1200"/>
        <w:jc w:val="left"/>
        <w:textAlignment w:val="auto"/>
        <w:rPr>
          <w:rFonts w:hint="eastAsia" w:ascii="仿宋" w:hAnsi="仿宋" w:eastAsia="仿宋" w:cs="仿宋"/>
          <w:b/>
          <w:bCs/>
          <w:sz w:val="32"/>
          <w:szCs w:val="32"/>
          <w:lang w:val="en-US" w:eastAsia="zh-CN"/>
        </w:rPr>
      </w:pPr>
      <w:bookmarkStart w:id="6" w:name="bookmark6"/>
      <w:bookmarkStart w:id="7" w:name="bookmark8"/>
      <w:bookmarkStart w:id="8" w:name="bookmark7"/>
      <w:r>
        <w:rPr>
          <w:rFonts w:hint="eastAsia" w:ascii="仿宋" w:hAnsi="仿宋" w:eastAsia="仿宋" w:cs="仿宋"/>
          <w:sz w:val="28"/>
          <w:szCs w:val="28"/>
          <w:lang w:val="en-US" w:eastAsia="zh-CN"/>
        </w:rPr>
        <w:t>网络营销与直播电商530704</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二、</w:t>
      </w:r>
      <w:r>
        <w:rPr>
          <w:rFonts w:hint="eastAsia" w:ascii="仿宋_GB2312" w:hAnsi="仿宋_GB2312" w:eastAsia="仿宋_GB2312" w:cs="仿宋_GB2312"/>
          <w:b/>
          <w:bCs/>
          <w:kern w:val="2"/>
          <w:sz w:val="28"/>
          <w:szCs w:val="28"/>
          <w:u w:val="none"/>
          <w:shd w:val="clear"/>
          <w:lang w:val="zh-CN" w:eastAsia="zh-CN" w:bidi="ar-SA"/>
        </w:rPr>
        <w:t>入学要求</w:t>
      </w:r>
      <w:bookmarkEnd w:id="6"/>
      <w:bookmarkEnd w:id="7"/>
      <w:bookmarkEnd w:id="8"/>
    </w:p>
    <w:p>
      <w:pPr>
        <w:keepNext w:val="0"/>
        <w:keepLines w:val="0"/>
        <w:pageBreakBefore w:val="0"/>
        <w:kinsoku/>
        <w:wordWrap/>
        <w:overflowPunct/>
        <w:topLinePunct w:val="0"/>
        <w:autoSpaceDE/>
        <w:autoSpaceDN/>
        <w:bidi w:val="0"/>
        <w:adjustRightInd w:val="0"/>
        <w:snapToGrid w:val="0"/>
        <w:spacing w:line="480" w:lineRule="exact"/>
        <w:ind w:left="3919" w:leftChars="266" w:hanging="3360" w:hangingChars="1200"/>
        <w:jc w:val="left"/>
        <w:textAlignment w:val="auto"/>
        <w:rPr>
          <w:rFonts w:hint="default" w:ascii="仿宋" w:hAnsi="仿宋" w:eastAsia="仿宋" w:cs="仿宋"/>
          <w:sz w:val="28"/>
          <w:szCs w:val="28"/>
          <w:lang w:val="en-US" w:eastAsia="zh-CN"/>
        </w:rPr>
      </w:pPr>
      <w:bookmarkStart w:id="9" w:name="bookmark11"/>
      <w:bookmarkStart w:id="10" w:name="bookmark12"/>
      <w:bookmarkStart w:id="11" w:name="bookmark10"/>
      <w:bookmarkStart w:id="12" w:name="bookmark9"/>
      <w:r>
        <w:rPr>
          <w:rFonts w:hint="eastAsia" w:ascii="仿宋" w:hAnsi="仿宋" w:eastAsia="仿宋" w:cs="仿宋"/>
          <w:sz w:val="28"/>
          <w:szCs w:val="28"/>
          <w:lang w:val="en-US" w:eastAsia="zh-CN"/>
        </w:rPr>
        <w:t>普通高级中学毕业、中等职业学校毕业或具备同等学力</w:t>
      </w:r>
      <w:bookmarkStart w:id="41" w:name="_GoBack"/>
      <w:bookmarkEnd w:id="41"/>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三</w:t>
      </w:r>
      <w:bookmarkEnd w:id="9"/>
      <w:r>
        <w:rPr>
          <w:rFonts w:hint="eastAsia" w:ascii="仿宋_GB2312" w:hAnsi="仿宋_GB2312" w:eastAsia="仿宋_GB2312" w:cs="仿宋_GB2312"/>
          <w:b/>
          <w:bCs/>
          <w:kern w:val="2"/>
          <w:sz w:val="28"/>
          <w:szCs w:val="28"/>
          <w:u w:val="none"/>
          <w:shd w:val="clear"/>
          <w:lang w:val="zh-CN" w:eastAsia="zh-CN" w:bidi="ar-SA"/>
        </w:rPr>
        <w:t>、基本修业年限</w:t>
      </w:r>
      <w:bookmarkEnd w:id="10"/>
      <w:bookmarkEnd w:id="11"/>
      <w:bookmarkEnd w:id="12"/>
    </w:p>
    <w:p>
      <w:pPr>
        <w:keepNext w:val="0"/>
        <w:keepLines w:val="0"/>
        <w:pageBreakBefore w:val="0"/>
        <w:kinsoku/>
        <w:wordWrap/>
        <w:overflowPunct/>
        <w:topLinePunct w:val="0"/>
        <w:autoSpaceDE/>
        <w:autoSpaceDN/>
        <w:bidi w:val="0"/>
        <w:adjustRightInd w:val="0"/>
        <w:snapToGrid w:val="0"/>
        <w:spacing w:line="480" w:lineRule="exact"/>
        <w:ind w:left="3919" w:leftChars="266" w:hanging="3360" w:hangingChars="1200"/>
        <w:jc w:val="left"/>
        <w:textAlignment w:val="auto"/>
        <w:rPr>
          <w:rFonts w:hint="eastAsia" w:ascii="仿宋" w:hAnsi="仿宋" w:eastAsia="仿宋" w:cs="仿宋"/>
          <w:sz w:val="28"/>
          <w:szCs w:val="28"/>
          <w:lang w:val="en-US" w:eastAsia="zh-CN"/>
        </w:rPr>
      </w:pPr>
      <w:bookmarkStart w:id="13" w:name="bookmark15"/>
      <w:bookmarkStart w:id="14" w:name="bookmark16"/>
      <w:bookmarkStart w:id="15" w:name="bookmark14"/>
      <w:bookmarkStart w:id="16" w:name="bookmark13"/>
      <w:r>
        <w:rPr>
          <w:rFonts w:hint="eastAsia" w:ascii="仿宋" w:hAnsi="仿宋" w:eastAsia="仿宋" w:cs="仿宋"/>
          <w:sz w:val="28"/>
          <w:szCs w:val="28"/>
          <w:lang w:val="zh-CN" w:eastAsia="zh-CN"/>
        </w:rPr>
        <w:t>标准修业年限为</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年</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四</w:t>
      </w:r>
      <w:bookmarkEnd w:id="13"/>
      <w:r>
        <w:rPr>
          <w:rFonts w:hint="eastAsia" w:ascii="仿宋_GB2312" w:hAnsi="仿宋_GB2312" w:eastAsia="仿宋_GB2312" w:cs="仿宋_GB2312"/>
          <w:b/>
          <w:bCs/>
          <w:kern w:val="2"/>
          <w:sz w:val="28"/>
          <w:szCs w:val="28"/>
          <w:u w:val="none"/>
          <w:shd w:val="clear"/>
          <w:lang w:val="zh-CN" w:eastAsia="zh-CN" w:bidi="ar-SA"/>
        </w:rPr>
        <w:t>、职业面向</w:t>
      </w:r>
      <w:bookmarkEnd w:id="14"/>
      <w:bookmarkEnd w:id="15"/>
      <w:bookmarkEnd w:id="16"/>
    </w:p>
    <w:p>
      <w:pPr>
        <w:keepNext w:val="0"/>
        <w:keepLines w:val="0"/>
        <w:pageBreakBefore w:val="0"/>
        <w:kinsoku/>
        <w:wordWrap/>
        <w:overflowPunct/>
        <w:topLinePunct w:val="0"/>
        <w:autoSpaceDE/>
        <w:autoSpaceDN/>
        <w:bidi w:val="0"/>
        <w:adjustRightInd w:val="0"/>
        <w:snapToGrid w:val="0"/>
        <w:spacing w:line="480" w:lineRule="exact"/>
        <w:ind w:left="3919" w:leftChars="266" w:hanging="3360" w:hangingChars="1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面向互联网营销师、全媒体运营师等职业，渠道销售主管、直播</w:t>
      </w:r>
    </w:p>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销售员、直播运营主管、新媒体运营主管、内容策划主管、客户主管、渠道推广主管、网络广告专员、市场策划主管等岗位(群)。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0" w:firstLineChars="0"/>
        <w:jc w:val="center"/>
        <w:textAlignment w:val="auto"/>
        <w:rPr>
          <w:rFonts w:hint="eastAsia" w:ascii="仿宋_GB2312" w:hAnsi="仿宋_GB2312" w:eastAsia="仿宋_GB2312" w:cs="仿宋_GB2312"/>
          <w:kern w:val="2"/>
          <w:sz w:val="28"/>
          <w:szCs w:val="28"/>
          <w:u w:val="none"/>
          <w:shd w:val="clear"/>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表</w:t>
      </w:r>
      <w:r>
        <w:rPr>
          <w:rFonts w:hint="eastAsia" w:ascii="仿宋_GB2312" w:hAnsi="仿宋_GB2312" w:eastAsia="仿宋_GB2312" w:cs="仿宋_GB2312"/>
          <w:kern w:val="2"/>
          <w:sz w:val="24"/>
          <w:szCs w:val="24"/>
          <w:u w:val="none"/>
          <w:shd w:val="clear" w:color="auto" w:fill="auto"/>
          <w:lang w:val="zh-CN" w:eastAsia="zh-CN" w:bidi="ar-SA"/>
        </w:rPr>
        <w:t>1：本专业职业面向</w:t>
      </w:r>
    </w:p>
    <w:tbl>
      <w:tblPr>
        <w:tblStyle w:val="2"/>
        <w:tblW w:w="83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
      <w:tblGrid>
        <w:gridCol w:w="1207"/>
        <w:gridCol w:w="1500"/>
        <w:gridCol w:w="1428"/>
        <w:gridCol w:w="1200"/>
        <w:gridCol w:w="3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Ex>
        <w:trPr>
          <w:trHeight w:val="449" w:hRule="atLeast"/>
        </w:trPr>
        <w:tc>
          <w:tcPr>
            <w:tcW w:w="1207"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eastAsia" w:ascii="仿宋" w:hAnsi="仿宋" w:eastAsia="仿宋" w:cs="仿宋"/>
                <w:b/>
                <w:bCs/>
                <w:color w:val="000000"/>
                <w:kern w:val="2"/>
                <w:sz w:val="24"/>
                <w:szCs w:val="24"/>
                <w:u w:val="none"/>
                <w:shd w:val="clear" w:color="auto" w:fill="auto"/>
                <w:lang w:val="zh-TW" w:eastAsia="zh-CN" w:bidi="zh-TW"/>
              </w:rPr>
            </w:pPr>
            <w:bookmarkStart w:id="17" w:name="bookmark19"/>
            <w:bookmarkStart w:id="18" w:name="bookmark20"/>
            <w:bookmarkStart w:id="19" w:name="bookmark18"/>
            <w:bookmarkStart w:id="20" w:name="bookmark17"/>
            <w:r>
              <w:rPr>
                <w:rFonts w:hint="eastAsia" w:ascii="仿宋" w:hAnsi="仿宋" w:eastAsia="仿宋" w:cs="仿宋"/>
                <w:b/>
                <w:bCs/>
                <w:color w:val="000000"/>
                <w:kern w:val="2"/>
                <w:sz w:val="24"/>
                <w:szCs w:val="24"/>
                <w:u w:val="none"/>
                <w:shd w:val="clear" w:color="auto" w:fill="auto"/>
                <w:lang w:val="zh-TW" w:eastAsia="zh-CN" w:bidi="zh-TW"/>
              </w:rPr>
              <w:t>所属专业大类</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所属专业类</w:t>
            </w:r>
          </w:p>
        </w:tc>
        <w:tc>
          <w:tcPr>
            <w:tcW w:w="1428"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对应行业</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CN" w:eastAsia="zh-TW" w:bidi="zh-TW"/>
              </w:rPr>
            </w:pPr>
            <w:r>
              <w:rPr>
                <w:rFonts w:hint="default" w:ascii="仿宋" w:hAnsi="仿宋" w:eastAsia="仿宋" w:cs="仿宋"/>
                <w:b/>
                <w:bCs/>
                <w:color w:val="000000"/>
                <w:kern w:val="2"/>
                <w:sz w:val="24"/>
                <w:szCs w:val="24"/>
                <w:u w:val="none"/>
                <w:shd w:val="clear" w:color="auto" w:fill="auto"/>
                <w:lang w:val="zh-TW" w:eastAsia="zh-TW" w:bidi="zh-TW"/>
              </w:rPr>
              <w:t>主要职业类别</w:t>
            </w:r>
          </w:p>
        </w:tc>
        <w:tc>
          <w:tcPr>
            <w:tcW w:w="3036"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主要岗位群或技术领域举例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Ex>
        <w:trPr>
          <w:trHeight w:val="889" w:hRule="atLeast"/>
        </w:trPr>
        <w:tc>
          <w:tcPr>
            <w:tcW w:w="120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en-US" w:eastAsia="zh-CN" w:bidi="zh-TW"/>
              </w:rPr>
            </w:pPr>
            <w:r>
              <w:rPr>
                <w:rFonts w:hint="eastAsia" w:ascii="仿宋" w:hAnsi="仿宋" w:eastAsia="仿宋" w:cs="仿宋"/>
                <w:color w:val="000000"/>
                <w:kern w:val="2"/>
                <w:sz w:val="24"/>
                <w:szCs w:val="24"/>
                <w:u w:val="none"/>
                <w:shd w:val="clear" w:color="auto" w:fill="auto"/>
                <w:lang w:val="en-US" w:eastAsia="zh-CN" w:bidi="zh-TW"/>
              </w:rPr>
              <w:t>财经商贸大类</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CN" w:eastAsia="zh-TW" w:bidi="zh-TW"/>
              </w:rPr>
            </w:pPr>
            <w:r>
              <w:rPr>
                <w:rFonts w:hint="eastAsia" w:ascii="仿宋" w:hAnsi="仿宋" w:eastAsia="仿宋" w:cs="仿宋"/>
                <w:color w:val="000000"/>
                <w:kern w:val="2"/>
                <w:sz w:val="24"/>
                <w:szCs w:val="24"/>
                <w:u w:val="none"/>
                <w:shd w:val="clear" w:color="auto" w:fill="auto"/>
                <w:lang w:val="en-US" w:eastAsia="zh-CN" w:bidi="zh-TW"/>
              </w:rPr>
              <w:t>电子商务</w:t>
            </w:r>
            <w:r>
              <w:rPr>
                <w:rFonts w:hint="default" w:ascii="仿宋" w:hAnsi="仿宋" w:eastAsia="仿宋" w:cs="仿宋"/>
                <w:color w:val="000000"/>
                <w:kern w:val="2"/>
                <w:sz w:val="24"/>
                <w:szCs w:val="24"/>
                <w:u w:val="none"/>
                <w:shd w:val="clear" w:color="auto" w:fill="auto"/>
                <w:lang w:val="zh-CN" w:eastAsia="zh-TW" w:bidi="zh-TW"/>
              </w:rPr>
              <w:t>类</w:t>
            </w:r>
          </w:p>
        </w:tc>
        <w:tc>
          <w:tcPr>
            <w:tcW w:w="14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CN" w:eastAsia="zh-TW" w:bidi="zh-TW"/>
              </w:rPr>
            </w:pPr>
            <w:r>
              <w:rPr>
                <w:rFonts w:hint="default" w:ascii="仿宋" w:hAnsi="仿宋" w:eastAsia="仿宋" w:cs="仿宋"/>
                <w:color w:val="000000"/>
                <w:kern w:val="2"/>
                <w:sz w:val="24"/>
                <w:szCs w:val="24"/>
                <w:u w:val="none"/>
                <w:shd w:val="clear" w:color="auto" w:fill="auto"/>
                <w:lang w:val="zh-CN" w:eastAsia="zh-TW" w:bidi="zh-TW"/>
              </w:rPr>
              <w:t>互联网和相关服务</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eastAsia" w:ascii="仿宋" w:hAnsi="仿宋" w:eastAsia="仿宋" w:cs="仿宋"/>
                <w:color w:val="000000"/>
                <w:kern w:val="2"/>
                <w:sz w:val="24"/>
                <w:szCs w:val="24"/>
                <w:u w:val="none"/>
                <w:shd w:val="clear" w:color="auto" w:fill="auto"/>
                <w:lang w:val="zh-TW" w:eastAsia="zh-CN" w:bidi="zh-TW"/>
              </w:rPr>
            </w:pPr>
            <w:r>
              <w:rPr>
                <w:rFonts w:hint="default" w:ascii="仿宋" w:hAnsi="仿宋" w:eastAsia="仿宋" w:cs="仿宋"/>
                <w:color w:val="000000"/>
                <w:kern w:val="2"/>
                <w:sz w:val="24"/>
                <w:szCs w:val="24"/>
                <w:u w:val="none"/>
                <w:shd w:val="clear" w:color="auto" w:fill="auto"/>
                <w:lang w:val="zh-TW" w:eastAsia="zh-TW" w:bidi="zh-TW"/>
              </w:rPr>
              <w:t>销售人员</w:t>
            </w:r>
            <w:r>
              <w:rPr>
                <w:rFonts w:hint="eastAsia" w:ascii="仿宋" w:hAnsi="仿宋" w:eastAsia="仿宋" w:cs="仿宋"/>
                <w:color w:val="000000"/>
                <w:kern w:val="2"/>
                <w:sz w:val="24"/>
                <w:szCs w:val="24"/>
                <w:u w:val="none"/>
                <w:shd w:val="clear" w:color="auto" w:fill="auto"/>
                <w:lang w:val="zh-TW" w:eastAsia="zh-CN" w:bidi="zh-TW"/>
              </w:rPr>
              <w:t>、商务专业人员</w:t>
            </w:r>
          </w:p>
        </w:tc>
        <w:tc>
          <w:tcPr>
            <w:tcW w:w="30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TW" w:eastAsia="zh-TW" w:bidi="zh-TW"/>
              </w:rPr>
            </w:pPr>
            <w:r>
              <w:rPr>
                <w:rFonts w:hint="default" w:ascii="仿宋" w:hAnsi="仿宋" w:eastAsia="仿宋" w:cs="仿宋"/>
                <w:color w:val="000000"/>
                <w:kern w:val="2"/>
                <w:sz w:val="24"/>
                <w:szCs w:val="24"/>
                <w:u w:val="none"/>
                <w:shd w:val="clear" w:color="auto" w:fill="auto"/>
                <w:lang w:val="zh-TW" w:eastAsia="zh-TW" w:bidi="zh-TW"/>
              </w:rPr>
              <w:t>网络营销策划</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新媒体编辑</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网络渠道推广</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客户服务</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互联网产品销售</w:t>
            </w:r>
          </w:p>
        </w:tc>
      </w:tr>
    </w:tbl>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kern w:val="2"/>
          <w:sz w:val="28"/>
          <w:szCs w:val="28"/>
          <w:u w:val="none"/>
          <w:shd w:val="clear"/>
          <w:lang w:val="zh-TW" w:eastAsia="zh-TW" w:bidi="ar-SA"/>
        </w:rPr>
      </w:pPr>
      <w:r>
        <w:rPr>
          <w:rFonts w:hint="eastAsia" w:ascii="仿宋_GB2312" w:hAnsi="仿宋_GB2312" w:eastAsia="仿宋_GB2312" w:cs="仿宋_GB2312"/>
          <w:b/>
          <w:bCs/>
          <w:kern w:val="2"/>
          <w:sz w:val="28"/>
          <w:szCs w:val="28"/>
          <w:u w:val="none"/>
          <w:shd w:val="clear"/>
          <w:lang w:val="zh-TW" w:eastAsia="zh-TW" w:bidi="ar-SA"/>
        </w:rPr>
        <w:t>五</w:t>
      </w:r>
      <w:bookmarkEnd w:id="17"/>
      <w:r>
        <w:rPr>
          <w:rFonts w:hint="eastAsia" w:ascii="仿宋_GB2312" w:hAnsi="仿宋_GB2312" w:eastAsia="仿宋_GB2312" w:cs="仿宋_GB2312"/>
          <w:b/>
          <w:bCs/>
          <w:kern w:val="2"/>
          <w:sz w:val="28"/>
          <w:szCs w:val="28"/>
          <w:u w:val="none"/>
          <w:shd w:val="clear"/>
          <w:lang w:val="zh-TW" w:eastAsia="zh-TW" w:bidi="ar-SA"/>
        </w:rPr>
        <w:t>、培养目标</w:t>
      </w:r>
      <w:bookmarkEnd w:id="18"/>
      <w:bookmarkEnd w:id="19"/>
      <w:bookmarkEnd w:id="20"/>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kern w:val="2"/>
          <w:sz w:val="28"/>
          <w:szCs w:val="28"/>
          <w:u w:val="none"/>
          <w:shd w:val="clear"/>
          <w:lang w:val="zh-CN" w:eastAsia="zh-CN" w:bidi="ar-SA"/>
        </w:rPr>
      </w:pPr>
      <w:bookmarkStart w:id="21" w:name="bookmark23"/>
      <w:bookmarkStart w:id="22" w:name="bookmark24"/>
      <w:bookmarkStart w:id="23" w:name="bookmark21"/>
      <w:bookmarkStart w:id="24" w:name="bookmark22"/>
      <w:r>
        <w:rPr>
          <w:rFonts w:hint="eastAsia" w:ascii="仿宋" w:hAnsi="仿宋" w:eastAsia="仿宋" w:cs="仿宋"/>
          <w:sz w:val="28"/>
          <w:szCs w:val="28"/>
          <w:lang w:eastAsia="zh-CN"/>
        </w:rPr>
        <w:t>本专业培养德智体美劳全面发展，掌握扎实的科学文化基础和网络推广、直播销售、新媒体运营及相关法律法规等知识，具备直播运营、内容策划与编辑、渠道开拓与运维等能力，具有工匠精神和信息素养，能够从事渠道拓展运营维护、市场策划、产品策划、广告投放、直播策划执行、粉丝引导转化、内容策划推广、新媒体运营、数据分析、客户开发与管理等工作的高素质技术技能人才。</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jc w:val="both"/>
        <w:textAlignment w:val="auto"/>
        <w:rPr>
          <w:rFonts w:hint="eastAsia" w:ascii="新宋体" w:hAnsi="新宋体" w:eastAsia="新宋体" w:cs="新宋体"/>
          <w:b/>
          <w:bCs/>
          <w:color w:val="000000"/>
          <w:spacing w:val="0"/>
          <w:w w:val="100"/>
          <w:kern w:val="2"/>
          <w:position w:val="0"/>
          <w:sz w:val="28"/>
          <w:szCs w:val="28"/>
          <w:u w:val="none"/>
          <w:shd w:val="clear" w:color="auto" w:fill="auto"/>
          <w:lang w:val="zh-TW" w:eastAsia="zh-TW" w:bidi="zh-TW"/>
        </w:rPr>
      </w:pPr>
      <w:r>
        <w:rPr>
          <w:rFonts w:hint="eastAsia" w:ascii="仿宋_GB2312" w:hAnsi="仿宋_GB2312" w:eastAsia="仿宋_GB2312" w:cs="仿宋_GB2312"/>
          <w:b/>
          <w:bCs/>
          <w:kern w:val="2"/>
          <w:sz w:val="28"/>
          <w:szCs w:val="28"/>
          <w:u w:val="none"/>
          <w:shd w:val="clear" w:color="auto" w:fill="auto"/>
          <w:lang w:val="zh-TW" w:eastAsia="zh-TW" w:bidi="ar-SA"/>
        </w:rPr>
        <w:t>六</w:t>
      </w:r>
      <w:bookmarkEnd w:id="21"/>
      <w:r>
        <w:rPr>
          <w:rFonts w:hint="eastAsia" w:ascii="仿宋_GB2312" w:hAnsi="仿宋_GB2312" w:eastAsia="仿宋_GB2312" w:cs="仿宋_GB2312"/>
          <w:b/>
          <w:bCs/>
          <w:kern w:val="2"/>
          <w:sz w:val="28"/>
          <w:szCs w:val="28"/>
          <w:u w:val="none"/>
          <w:shd w:val="clear" w:color="auto" w:fill="auto"/>
          <w:lang w:val="zh-TW" w:eastAsia="zh-TW" w:bidi="ar-SA"/>
        </w:rPr>
        <w:t>、培养规格</w:t>
      </w:r>
      <w:bookmarkEnd w:id="22"/>
      <w:bookmarkEnd w:id="23"/>
      <w:bookmarkEnd w:id="24"/>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zh-CN" w:eastAsia="zh-CN"/>
        </w:rPr>
      </w:pPr>
      <w:bookmarkStart w:id="25" w:name="bookmark56"/>
      <w:bookmarkStart w:id="26" w:name="bookmark59"/>
      <w:bookmarkStart w:id="27" w:name="bookmark58"/>
      <w:bookmarkStart w:id="28" w:name="bookmark57"/>
      <w:r>
        <w:rPr>
          <w:rFonts w:hint="eastAsia" w:ascii="仿宋" w:hAnsi="仿宋" w:eastAsia="仿宋" w:cs="仿宋"/>
          <w:sz w:val="28"/>
          <w:szCs w:val="28"/>
          <w:lang w:val="zh-CN" w:eastAsia="zh-CN"/>
        </w:rPr>
        <w:t>本专业毕业生应在素质、知识和能力等方面达到以下要求：</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left="440" w:leftChars="0" w:right="0" w:rightChars="0"/>
        <w:jc w:val="both"/>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kern w:val="2"/>
          <w:sz w:val="28"/>
          <w:szCs w:val="28"/>
          <w:u w:val="none"/>
          <w:shd w:val="clear"/>
          <w:lang w:val="en-US" w:eastAsia="zh-CN" w:bidi="ar-SA"/>
        </w:rPr>
        <w:t>（一）素质</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1.坚定拥护中国共产党领导和我国社会主义制度，在习近平新时代中国特色社会主义思想指引下，践行社会主义核心价值观，具有深厚的爱国情感和中华民族自豪感。</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2.崇尚宪法、遵法守纪、崇德向善、诚实守信、尊重生命、热爱劳动，履行道德准则和行为规范，具有社会责任感和社会参与意识。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3.具有质量意识、环保意识、安全意识、信息素养、工匠精神、创新思维。</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4.勇于奋斗、乐观向上，具有自我管理能力、职业生涯规划的意识，有较强的集体意识和团队合作精神。</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5.具有健康的体魄、心理和健全的人格，掌握基本运动知识和1-2项运动技能，养成良好的健身与卫生习惯，以及良好的行为习惯。</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6.具有一定的审美和人文素养，能够形成1-2项艺术特长或爱好。</w:t>
      </w:r>
    </w:p>
    <w:p>
      <w:pPr>
        <w:keepNext w:val="0"/>
        <w:keepLines w:val="0"/>
        <w:pageBreakBefore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1.掌握必备的思想政治理论、科学文化基础知识和中华优秀传统文化知识。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2.熟悉与本专业相关的法律法规以及环境保护、安全消防等知识。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3.掌握计算机应用、网络技术的基本理论，电子商务的基本理论以及新技术、新业态、新模式、创新创业相关知识。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4.掌握文字写作、语言与文字交流、信息技术应用以及商业文化素养等知识。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5.掌握品牌策划及日常运营、活动策划方案制定与实施的相关知识。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6.掌握文案创意方法与文案撰写、新媒体设计与制作、网络广告制作与投放的相关知识。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7.掌握搜索引擎站内站外优化、竟价账户搭建及维护的相关知识。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8.掌握客户服务、客户关系维护的相关知识。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9.掌握新媒体推广、社群运营的相关知识。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10.掌握互联网产品分类、互联网产品销售的相关知识。</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2" w:firstLineChars="200"/>
        <w:jc w:val="both"/>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kern w:val="2"/>
          <w:sz w:val="28"/>
          <w:szCs w:val="28"/>
          <w:u w:val="none"/>
          <w:shd w:val="clear"/>
          <w:lang w:val="en-US" w:eastAsia="zh-CN" w:bidi="ar-SA"/>
        </w:rPr>
        <w:t>(三)能力</w:t>
      </w:r>
    </w:p>
    <w:bookmarkEnd w:id="25"/>
    <w:bookmarkEnd w:id="26"/>
    <w:bookmarkEnd w:id="27"/>
    <w:bookmarkEnd w:id="28"/>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1.具有网络营销与直播策划、网络销售、数字化运营、新媒体推广等专业基础知识的整合和综合运用能力。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2.具有渠道运营策划、销售渠道拓展维护、渠道绩效管理、产品策划与评估分析、行业定位分析、销售策略制订的能力。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3.具有市场调研与运营方案策划推广、用户社群运营、运营推广效果监测的能力。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4.具有直播策划与运营、流量引入、直播数据分析与优化的能力。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5.具有制订客户服务标准、客户开发转化、客户关系维护、突发危机事件处理、客服绩效管理的能力。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6.具有诚实守信的职业道德和互联网安全意识，遵守与电子商务相关的法律法规。</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7.具有适应产业数字化发展需求的基本数字技能和专业信息技术能力。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8.具有良好的学习能力、表达沟通能力和团队合作精神，具有批判性思维、创新能力和创业能力。</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9.具有探究学习、终身学习和可持续发展能力。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七、课程设置</w:t>
      </w:r>
      <w:r>
        <w:rPr>
          <w:rFonts w:hint="eastAsia" w:ascii="仿宋_GB2312" w:hAnsi="仿宋_GB2312" w:eastAsia="仿宋_GB2312" w:cs="仿宋_GB2312"/>
          <w:b/>
          <w:bCs/>
          <w:sz w:val="28"/>
          <w:szCs w:val="28"/>
          <w:lang w:val="en-US" w:eastAsia="zh-CN"/>
        </w:rPr>
        <w:t>与要求</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本专业课程主要包括公共基础课和专业课。</w:t>
      </w:r>
    </w:p>
    <w:p>
      <w:pPr>
        <w:pStyle w:val="5"/>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bidi="ar-SA"/>
        </w:rPr>
        <w:t>公共基础课</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 w:hAnsi="仿宋" w:eastAsia="仿宋" w:cs="仿宋"/>
          <w:sz w:val="28"/>
          <w:szCs w:val="28"/>
          <w:lang w:val="en-US" w:eastAsia="zh-CN"/>
        </w:rPr>
      </w:pPr>
      <w:bookmarkStart w:id="29" w:name="bookmark52"/>
      <w:bookmarkEnd w:id="29"/>
      <w:r>
        <w:rPr>
          <w:rFonts w:hint="eastAsia" w:ascii="仿宋" w:hAnsi="仿宋" w:eastAsia="仿宋" w:cs="仿宋"/>
          <w:sz w:val="28"/>
          <w:szCs w:val="28"/>
          <w:lang w:val="en-US" w:eastAsia="zh-CN"/>
        </w:rPr>
        <w:t>1.课程设置</w:t>
      </w:r>
    </w:p>
    <w:p>
      <w:pPr>
        <w:pStyle w:val="5"/>
        <w:wordWrap/>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公共基础必修课设置《思想道德与法治》《毛泽东思想和中国特色社会主义理论体系概论》《形势与政策》《铸牢中华民族共同体意识》《大学语文》《大学英语》《军事理论与军事训练》《入学教育》《计算机应用基础》《体育与健康》《大学生心理健康教育》《劳动教育》《职业生涯规划与就业创业指导》《公共艺术》《大学生安全教育》，公共基础选修课设置《公共关系》《职场礼仪》《书法》《应用文写作》《中华优秀传统文化》以及社团活动或社会志愿服务。</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2.课程主要内容及要求</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（1）思想道德与法治（原为思想道德修养与法律基础）。帮助学生筑牢理想信念之基，培育和践行社会主义和价值观，传承中华美德，弘扬中国精神，尊重和维护宪法权威，提升思想道德素质和法律素质。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毛泽东思想和中国特色社会主义理论体系概论。帮助学生理解毛泽东思想、邓小平理论、“三个代表”重要思想、科学发展观、习近平新时代中国特色社会主义思想是一脉相承又与时俱进的科学体系，引导学生坚定“四个自信”。</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（3）形势与政策。帮助学生准确理解当代马克思主义，党和国家取得的历史性成就、面临的历史性机遇和挑战，引导学生正确认识世界和中国发展大势，认清时代责任和历史使命。</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铸牢中华民族共同体意识。以铸牢中华民族共同体意识为主线，学习习近平关于民族工作重要论述，党的民族理论与民族政策，引导学生树立马克思主义国家观、历史观、民族观、文化观和宗教观，坚定走中国特色解决民族问题正确道路的信心。</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大学语文。增强学生语言文字的表达、交流与沟通能力、写作能力，提高学生语言文字的实际应用水平，并使学生的内心世界更为充实、丰富和健康，从而完善大学生的文化修养和现代人格，辅助当代大学生人文素质工程。</w:t>
      </w:r>
    </w:p>
    <w:p>
      <w:pPr>
        <w:keepNext w:val="0"/>
        <w:keepLines w:val="0"/>
        <w:pageBreakBefore w:val="0"/>
        <w:widowControl w:val="0"/>
        <w:numPr>
          <w:ilvl w:val="0"/>
          <w:numId w:val="0"/>
        </w:numPr>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大学英语。通过课堂教学各个环节，运用各种教学方法，使学生掌握一定的英语听、说、读、写、译的基本技能，培养学生进行简单的口头和书面交流能力。同时，大学英语坚持知识传授和价值引领相结合，运用可以培养学生理想信念、价值取向、政治信仰、社会责任的题材与内容，使显性教育与隐性教育相融合，培养学生树立正确的世界观、人生观、价值观，让学生成为德才兼备、全面发展的人才。</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职业生涯规划与就业创业指导。引导大学生在认识自我的基础上树立正确的职业理想和择业观，使大学生在了解国家的就业政策及法规前提下，增强自身全面素质，能够科学、合理规划职业生涯，掌握求职择业的方法与技巧，提升就业能力，正确并顺利选择职业；同时了解并熟悉创业所需条件、企业创办程序，从而在培养创业意识的基础上树立并提高大学生创新创业能力及创业实践。</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计算机应用基础。培养学生掌握常用的工具软件和信息化办公技术，具备支撑专业学习的能力，使学生能够在日常生活、学习和工作中综合运用信息技术解决问题；增强信息意识、提升计算思维、促进数字化创新与发展能力、树立正确的信息社会价值观和责任感，为其职业发展、终身学习和服务社会奠定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9）体育与健康。培养学生掌握基本的体育理论知识和基本技能，提高体育意识，建立正确的体育价值观，掌握科学锻炼身体的方法，增强体质，形成对健康的自我监测和评价能力，养成终身锻炼的习惯，促进身体机能全面发展；培养爱国主义和集体主义的思想品德和教育，树立正确的体育道德观，形成顽强进取，勇于拼搏的思想品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10）大学生安全教育。激发大学生树立安全第一的意识确立正确的安全观。培养正确避灾、避险和防骗、识骗技能，提高防灾避险和防骗能力；培养学生高尚的人生价值观和正确的价值观；掌握有效预防传染病和食物中毒的方法。主要内容包括：国家安全、财产安全、网络安全、消防安全、学习安全、公共卫生安全、社会活动安全、灾害自救安全等。</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11）大学生心理健康教育。使学生掌握心理健康的基本概念和基础知识，初步形成多种视角的心理学观点，并能将其与日常的学习、工作和生活紧密联系；学会评价个人心理健康状况并有效的进行自我调节；建立科学的健康观，能以科学的态度和方法来认识和处理心理健康问题。</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12）军事理论及军事技能。通过军事理论及军事技能训练，使学生掌握基本的军事知识和技能，提高其政治觉悟，激发爱国热情，发扬革命英雄主义精神，培养艰苦奋斗、刻苦耐劳的坚强毅力和集体主义精神，增强国防观念和组织纪律性，养成良好的学习生活作风，为学生顺利完成学业奠定坚实的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 xml:space="preserve">（13）劳动教育。通过劳动教育，使学生树立新时代劳动价值观，增强诚实劳动意识，积累职业经验，提升就业创业能力，树立正确择业观；使学生具备满足生存发展需要的基本劳动能力，具备到艰苦地区和行业工作的奋斗精神，具备面对重大疫情和灾害等危机时主动作为的奉献精神。 </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（14）入学教育。通过入学教育，帮助新生尽快融入角色、自觉适应新的学习生活环境、端正学习态度，遵守学校的规章制度，建立和谐的人际关系。</w:t>
      </w:r>
    </w:p>
    <w:p>
      <w:pPr>
        <w:pStyle w:val="5"/>
        <w:keepNext w:val="0"/>
        <w:keepLines w:val="0"/>
        <w:pageBreakBefore w:val="0"/>
        <w:shd w:val="clear" w:color="auto" w:fill="auto"/>
        <w:tabs>
          <w:tab w:val="left" w:pos="923"/>
        </w:tabs>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（二）专业课</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 w:hAnsi="仿宋" w:eastAsia="仿宋" w:cs="仿宋"/>
          <w:kern w:val="2"/>
          <w:sz w:val="28"/>
          <w:szCs w:val="28"/>
          <w:u w:val="none"/>
          <w:shd w:val="clear" w:color="auto" w:fill="auto"/>
          <w:lang w:val="en-US" w:eastAsia="zh-CN" w:bidi="ar-SA"/>
        </w:rPr>
      </w:pPr>
      <w:r>
        <w:rPr>
          <w:rFonts w:hint="eastAsia" w:ascii="仿宋" w:hAnsi="仿宋" w:eastAsia="仿宋" w:cs="仿宋"/>
          <w:kern w:val="2"/>
          <w:sz w:val="28"/>
          <w:szCs w:val="28"/>
          <w:u w:val="none"/>
          <w:shd w:val="clear" w:color="auto" w:fill="auto"/>
          <w:lang w:val="en-US" w:eastAsia="zh-CN" w:bidi="ar-SA"/>
        </w:rPr>
        <w:t>1.课程设置</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 w:hAnsi="仿宋" w:eastAsia="仿宋" w:cs="仿宋"/>
          <w:kern w:val="2"/>
          <w:sz w:val="28"/>
          <w:szCs w:val="28"/>
          <w:u w:val="none"/>
          <w:shd w:val="clear" w:color="auto" w:fill="auto"/>
          <w:lang w:val="en-US" w:eastAsia="zh-CN" w:bidi="ar-SA"/>
        </w:rPr>
      </w:pPr>
      <w:bookmarkStart w:id="30" w:name="bookmark62"/>
      <w:bookmarkEnd w:id="30"/>
      <w:bookmarkStart w:id="31" w:name="bookmark61"/>
      <w:bookmarkEnd w:id="31"/>
      <w:r>
        <w:rPr>
          <w:rFonts w:hint="eastAsia" w:ascii="仿宋" w:hAnsi="仿宋" w:eastAsia="仿宋" w:cs="仿宋"/>
          <w:kern w:val="2"/>
          <w:sz w:val="28"/>
          <w:szCs w:val="28"/>
          <w:u w:val="none"/>
          <w:shd w:val="clear" w:color="auto" w:fill="auto"/>
          <w:lang w:val="en-US" w:eastAsia="zh-CN" w:bidi="ar-SA"/>
        </w:rPr>
        <w:t>专业基础课《市场营销》《电子商务基础》《财税基础》《零售基础》《商品拍摄与素材编辑》《商务数据分析与应用》</w:t>
      </w:r>
      <w:bookmarkStart w:id="32" w:name="bookmark63"/>
      <w:bookmarkEnd w:id="32"/>
      <w:r>
        <w:rPr>
          <w:rFonts w:hint="eastAsia" w:ascii="仿宋" w:hAnsi="仿宋" w:eastAsia="仿宋" w:cs="仿宋"/>
          <w:kern w:val="2"/>
          <w:sz w:val="28"/>
          <w:szCs w:val="28"/>
          <w:u w:val="none"/>
          <w:shd w:val="clear" w:color="auto" w:fill="auto"/>
          <w:lang w:val="en-US" w:eastAsia="zh-CN" w:bidi="ar-SA"/>
        </w:rPr>
        <w:t>《电子商务法律法规》《选品与采购》。</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 w:hAnsi="仿宋" w:eastAsia="仿宋" w:cs="仿宋"/>
          <w:kern w:val="2"/>
          <w:sz w:val="28"/>
          <w:szCs w:val="28"/>
          <w:u w:val="none"/>
          <w:shd w:val="clear" w:color="auto" w:fill="auto"/>
          <w:lang w:val="en-US" w:eastAsia="zh-CN" w:bidi="ar-SA"/>
        </w:rPr>
      </w:pPr>
      <w:r>
        <w:rPr>
          <w:rFonts w:hint="eastAsia" w:ascii="仿宋" w:hAnsi="仿宋" w:eastAsia="仿宋" w:cs="仿宋"/>
          <w:kern w:val="2"/>
          <w:sz w:val="28"/>
          <w:szCs w:val="28"/>
          <w:u w:val="none"/>
          <w:shd w:val="clear" w:color="auto" w:fill="auto"/>
          <w:lang w:val="en-US" w:eastAsia="zh-CN" w:bidi="ar-SA"/>
        </w:rPr>
        <w:t>专业核心课</w:t>
      </w:r>
      <w:bookmarkStart w:id="33" w:name="bookmark64"/>
      <w:bookmarkEnd w:id="33"/>
      <w:r>
        <w:rPr>
          <w:rFonts w:hint="eastAsia" w:ascii="仿宋" w:hAnsi="仿宋" w:eastAsia="仿宋" w:cs="仿宋"/>
          <w:kern w:val="2"/>
          <w:sz w:val="28"/>
          <w:szCs w:val="28"/>
          <w:u w:val="none"/>
          <w:shd w:val="clear" w:color="auto" w:fill="auto"/>
          <w:lang w:val="en-US" w:eastAsia="zh-CN" w:bidi="ar-SA"/>
        </w:rPr>
        <w:t>《市场策划》《网络推广》《营销渠道运维》《直播销售》《内容策划与编辑》《直播运营》《新媒体运营》《客户服务与管理》。</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 w:hAnsi="仿宋" w:eastAsia="仿宋" w:cs="仿宋"/>
          <w:kern w:val="2"/>
          <w:sz w:val="28"/>
          <w:szCs w:val="28"/>
          <w:u w:val="none"/>
          <w:shd w:val="clear" w:color="auto" w:fill="auto"/>
          <w:lang w:val="en-US" w:eastAsia="zh-CN" w:bidi="ar-SA"/>
        </w:rPr>
      </w:pPr>
      <w:r>
        <w:rPr>
          <w:rFonts w:hint="eastAsia" w:ascii="仿宋" w:hAnsi="仿宋" w:eastAsia="仿宋" w:cs="仿宋"/>
          <w:kern w:val="2"/>
          <w:sz w:val="28"/>
          <w:szCs w:val="28"/>
          <w:u w:val="none"/>
          <w:shd w:val="clear" w:color="auto" w:fill="auto"/>
          <w:lang w:val="en-US" w:eastAsia="zh-CN" w:bidi="ar-SA"/>
        </w:rPr>
        <w:t>专业拓展课《市场调研与分析》《网络消费心理》《数据分析应用》《网络营销工具应用》。</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default" w:ascii="仿宋_GB2312" w:hAnsi="仿宋_GB2312" w:eastAsia="仿宋_GB2312" w:cs="仿宋_GB2312"/>
          <w:sz w:val="28"/>
          <w:szCs w:val="28"/>
          <w:lang w:val="en-US" w:eastAsia="zh-CN" w:bidi="ar-SA"/>
        </w:rPr>
      </w:pPr>
      <w:bookmarkStart w:id="34" w:name="bookmark65"/>
      <w:bookmarkEnd w:id="34"/>
      <w:r>
        <w:rPr>
          <w:rFonts w:hint="eastAsia" w:ascii="仿宋_GB2312" w:hAnsi="仿宋_GB2312" w:eastAsia="仿宋_GB2312" w:cs="仿宋_GB2312"/>
          <w:sz w:val="28"/>
          <w:szCs w:val="28"/>
          <w:lang w:val="en-US" w:eastAsia="zh-CN" w:bidi="ar-SA"/>
        </w:rPr>
        <w:t>2.课程主要内容</w:t>
      </w:r>
    </w:p>
    <w:tbl>
      <w:tblPr>
        <w:tblStyle w:val="2"/>
        <w:tblW w:w="8452" w:type="dxa"/>
        <w:jc w:val="center"/>
        <w:tblInd w:w="0" w:type="dxa"/>
        <w:tblLayout w:type="fixed"/>
        <w:tblCellMar>
          <w:top w:w="0" w:type="dxa"/>
          <w:left w:w="10" w:type="dxa"/>
          <w:bottom w:w="0" w:type="dxa"/>
          <w:right w:w="10" w:type="dxa"/>
        </w:tblCellMar>
      </w:tblPr>
      <w:tblGrid>
        <w:gridCol w:w="733"/>
        <w:gridCol w:w="1213"/>
        <w:gridCol w:w="6506"/>
      </w:tblGrid>
      <w:tr>
        <w:tblPrEx>
          <w:tblLayout w:type="fixed"/>
          <w:tblCellMar>
            <w:top w:w="0" w:type="dxa"/>
            <w:left w:w="10" w:type="dxa"/>
            <w:bottom w:w="0" w:type="dxa"/>
            <w:right w:w="10" w:type="dxa"/>
          </w:tblCellMar>
        </w:tblPrEx>
        <w:trPr>
          <w:trHeight w:val="403"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课程名称</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主要教学内容</w:t>
            </w:r>
          </w:p>
        </w:tc>
      </w:tr>
      <w:tr>
        <w:tblPrEx>
          <w:tblLayout w:type="fixed"/>
          <w:tblCellMar>
            <w:top w:w="0" w:type="dxa"/>
            <w:left w:w="10" w:type="dxa"/>
            <w:bottom w:w="0" w:type="dxa"/>
            <w:right w:w="10" w:type="dxa"/>
          </w:tblCellMar>
        </w:tblPrEx>
        <w:trPr>
          <w:trHeight w:val="1523"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1</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市场策划</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eastAsia="zh-CN"/>
              </w:rPr>
            </w:pPr>
            <w:r>
              <w:rPr>
                <w:rFonts w:hint="eastAsia" w:ascii="仿宋" w:hAnsi="仿宋" w:eastAsia="仿宋" w:cs="仿宋"/>
                <w:sz w:val="24"/>
                <w:szCs w:val="24"/>
              </w:rPr>
              <w:t>学生通过课程的学习与训练实践活动，掌握营销策划方面的基础知识、基本理论，对营销策划有全面、系统的了解和较为深刻的认识,对营销策划操作流程与管理方式的基本范畴.内在关系及其运动规律有较为系统的掌握。</w:t>
            </w:r>
          </w:p>
        </w:tc>
      </w:tr>
      <w:tr>
        <w:tblPrEx>
          <w:tblLayout w:type="fixed"/>
          <w:tblCellMar>
            <w:top w:w="0" w:type="dxa"/>
            <w:left w:w="10" w:type="dxa"/>
            <w:bottom w:w="0" w:type="dxa"/>
            <w:right w:w="10" w:type="dxa"/>
          </w:tblCellMar>
        </w:tblPrEx>
        <w:trPr>
          <w:trHeight w:val="1380"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网络推广</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eastAsia="zh-CN"/>
              </w:rPr>
            </w:pPr>
            <w:r>
              <w:rPr>
                <w:rFonts w:hint="eastAsia" w:ascii="仿宋" w:hAnsi="仿宋" w:eastAsia="仿宋" w:cs="仿宋"/>
                <w:i w:val="0"/>
                <w:iCs w:val="0"/>
                <w:caps w:val="0"/>
                <w:color w:val="333333"/>
                <w:spacing w:val="0"/>
                <w:sz w:val="24"/>
                <w:szCs w:val="24"/>
                <w:shd w:val="clear" w:fill="FFFFFF"/>
                <w:lang w:val="en-US" w:eastAsia="zh-CN"/>
              </w:rPr>
              <w:t>通过课程让学生</w:t>
            </w:r>
            <w:r>
              <w:rPr>
                <w:rFonts w:hint="eastAsia" w:ascii="仿宋" w:hAnsi="仿宋" w:eastAsia="仿宋" w:cs="仿宋"/>
                <w:i w:val="0"/>
                <w:iCs w:val="0"/>
                <w:caps w:val="0"/>
                <w:color w:val="333333"/>
                <w:spacing w:val="0"/>
                <w:sz w:val="24"/>
                <w:szCs w:val="24"/>
                <w:shd w:val="clear" w:fill="FFFFFF"/>
              </w:rPr>
              <w:t>熟悉和掌握网络推广手段和方式,通过学习可以适应</w:t>
            </w:r>
            <w:r>
              <w:rPr>
                <w:rFonts w:hint="eastAsia" w:ascii="仿宋" w:hAnsi="仿宋" w:eastAsia="仿宋" w:cs="仿宋"/>
                <w:i w:val="0"/>
                <w:iCs w:val="0"/>
                <w:caps w:val="0"/>
                <w:color w:val="333333"/>
                <w:spacing w:val="0"/>
                <w:sz w:val="24"/>
                <w:szCs w:val="24"/>
                <w:shd w:val="clear" w:fill="FFFFFF"/>
                <w:lang w:val="en-US" w:eastAsia="zh-CN"/>
              </w:rPr>
              <w:t>当代</w:t>
            </w:r>
            <w:r>
              <w:rPr>
                <w:rFonts w:hint="eastAsia" w:ascii="仿宋" w:hAnsi="仿宋" w:eastAsia="仿宋" w:cs="仿宋"/>
                <w:i w:val="0"/>
                <w:iCs w:val="0"/>
                <w:caps w:val="0"/>
                <w:color w:val="333333"/>
                <w:spacing w:val="0"/>
                <w:sz w:val="24"/>
                <w:szCs w:val="24"/>
                <w:shd w:val="clear" w:fill="FFFFFF"/>
              </w:rPr>
              <w:t>社会企业所需要的该类人员要求。要求</w:t>
            </w:r>
            <w:r>
              <w:rPr>
                <w:rFonts w:hint="eastAsia" w:ascii="仿宋" w:hAnsi="仿宋" w:eastAsia="仿宋" w:cs="仿宋"/>
                <w:i w:val="0"/>
                <w:iCs w:val="0"/>
                <w:caps w:val="0"/>
                <w:color w:val="333333"/>
                <w:spacing w:val="0"/>
                <w:sz w:val="24"/>
                <w:szCs w:val="24"/>
                <w:shd w:val="clear" w:fill="FFFFFF"/>
                <w:lang w:val="en-US" w:eastAsia="zh-CN"/>
              </w:rPr>
              <w:t>学生</w:t>
            </w:r>
            <w:r>
              <w:rPr>
                <w:rFonts w:hint="eastAsia" w:ascii="仿宋" w:hAnsi="仿宋" w:eastAsia="仿宋" w:cs="仿宋"/>
                <w:i w:val="0"/>
                <w:iCs w:val="0"/>
                <w:caps w:val="0"/>
                <w:color w:val="333333"/>
                <w:spacing w:val="0"/>
                <w:sz w:val="24"/>
                <w:szCs w:val="24"/>
                <w:shd w:val="clear" w:fill="FFFFFF"/>
              </w:rPr>
              <w:t>在学习中深刻理解网络推广手段，简要的了解网络优化技术手段和营销手段。</w:t>
            </w:r>
          </w:p>
        </w:tc>
      </w:tr>
      <w:tr>
        <w:tblPrEx>
          <w:tblLayout w:type="fixed"/>
          <w:tblCellMar>
            <w:top w:w="0" w:type="dxa"/>
            <w:left w:w="10" w:type="dxa"/>
            <w:bottom w:w="0" w:type="dxa"/>
            <w:right w:w="10" w:type="dxa"/>
          </w:tblCellMar>
        </w:tblPrEx>
        <w:trPr>
          <w:trHeight w:val="1554"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3</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营销渠道运维</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i w:val="0"/>
                <w:iCs w:val="0"/>
                <w:caps w:val="0"/>
                <w:color w:val="555555"/>
                <w:spacing w:val="0"/>
                <w:sz w:val="24"/>
                <w:szCs w:val="24"/>
                <w:shd w:val="clear" w:fill="FFFFFF"/>
              </w:rPr>
              <w:t>本课程主要介绍了现代渠道管理理念介绍决策、管理和优化渠道的方法</w:t>
            </w:r>
            <w:r>
              <w:rPr>
                <w:rFonts w:hint="eastAsia" w:ascii="仿宋" w:hAnsi="仿宋" w:eastAsia="仿宋" w:cs="仿宋"/>
                <w:i w:val="0"/>
                <w:iCs w:val="0"/>
                <w:caps w:val="0"/>
                <w:color w:val="555555"/>
                <w:spacing w:val="0"/>
                <w:sz w:val="24"/>
                <w:szCs w:val="24"/>
                <w:shd w:val="clear" w:fill="FFFFFF"/>
                <w:lang w:eastAsia="zh-CN"/>
              </w:rPr>
              <w:t>，</w:t>
            </w:r>
            <w:r>
              <w:rPr>
                <w:rFonts w:hint="eastAsia" w:ascii="仿宋" w:hAnsi="仿宋" w:eastAsia="仿宋" w:cs="仿宋"/>
                <w:i w:val="0"/>
                <w:iCs w:val="0"/>
                <w:caps w:val="0"/>
                <w:color w:val="555555"/>
                <w:spacing w:val="0"/>
                <w:sz w:val="24"/>
                <w:szCs w:val="24"/>
                <w:shd w:val="clear" w:fill="FFFFFF"/>
              </w:rPr>
              <w:t>使学生能够运用所学知识观察、分析、思考和解决中国企业营销渠道实践的典型现象和问题，为今后从事实际工作提供必要的知识和能力准备</w:t>
            </w:r>
            <w:r>
              <w:rPr>
                <w:rFonts w:hint="eastAsia" w:ascii="仿宋" w:hAnsi="仿宋" w:eastAsia="仿宋" w:cs="仿宋"/>
                <w:i w:val="0"/>
                <w:iCs w:val="0"/>
                <w:caps w:val="0"/>
                <w:color w:val="555555"/>
                <w:spacing w:val="0"/>
                <w:sz w:val="24"/>
                <w:szCs w:val="24"/>
                <w:shd w:val="clear" w:fill="FFFFFF"/>
                <w:lang w:eastAsia="zh-CN"/>
              </w:rPr>
              <w:t>。</w:t>
            </w:r>
          </w:p>
        </w:tc>
      </w:tr>
      <w:tr>
        <w:tblPrEx>
          <w:tblLayout w:type="fixed"/>
          <w:tblCellMar>
            <w:top w:w="0" w:type="dxa"/>
            <w:left w:w="10" w:type="dxa"/>
            <w:bottom w:w="0" w:type="dxa"/>
            <w:right w:w="10" w:type="dxa"/>
          </w:tblCellMar>
        </w:tblPrEx>
        <w:trPr>
          <w:trHeight w:val="2138"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4</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直播销售</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sz w:val="24"/>
                <w:szCs w:val="24"/>
                <w:lang w:val="en-US" w:eastAsia="zh-CN" w:bidi="ar-SA"/>
              </w:rPr>
              <w:t>本课程主要针对直播销售员、电商带货主播、直播运营师、直播数据分析师等岗位开设，主要任务是 培养学生直播营销方案策划、直播人员配置、直播话术、直播间设计、直播选品与规划、直播引流互动直播数据分析等职业技能。课程依据直播营销的相关岗位对知识、能力和素质要求选取教学内容，培养学生的职业兴趣和岗位实操能力。</w:t>
            </w:r>
          </w:p>
        </w:tc>
      </w:tr>
      <w:tr>
        <w:tblPrEx>
          <w:tblLayout w:type="fixed"/>
          <w:tblCellMar>
            <w:top w:w="0" w:type="dxa"/>
            <w:left w:w="10" w:type="dxa"/>
            <w:bottom w:w="0" w:type="dxa"/>
            <w:right w:w="10" w:type="dxa"/>
          </w:tblCellMar>
        </w:tblPrEx>
        <w:trPr>
          <w:trHeight w:val="1797"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5</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内容策划与编辑</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spacing w:val="7"/>
                <w:sz w:val="24"/>
                <w:szCs w:val="24"/>
                <w:lang w:val="en-US" w:eastAsia="zh-CN"/>
              </w:rPr>
              <w:t>有利于学生了解、熟悉、掌握网站内容编辑岗位的工作内容和基本技能。通过学习训练，学生能够根据企业网络营销目标，编辑、策划网络营销方案，综合运用常见的营销策划方法，选择适当的网络手段进行营销推广，从事网站内容编辑工作。</w:t>
            </w:r>
          </w:p>
        </w:tc>
      </w:tr>
      <w:tr>
        <w:tblPrEx>
          <w:tblLayout w:type="fixed"/>
          <w:tblCellMar>
            <w:top w:w="0" w:type="dxa"/>
            <w:left w:w="10" w:type="dxa"/>
            <w:bottom w:w="0" w:type="dxa"/>
            <w:right w:w="10" w:type="dxa"/>
          </w:tblCellMar>
        </w:tblPrEx>
        <w:trPr>
          <w:trHeight w:val="1446"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6</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直播运营</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zh-TW" w:eastAsia="zh-TW"/>
              </w:rPr>
              <w:t>通过本课程的学习，使学生对直播电商的相关知识与运营操作有初步的掌握，从而了解直播前需要进行的准备工作、直播中的资料宣传与直播话术、直播后的维护与总结等，为从事直播电商运营工作打下基础。</w:t>
            </w:r>
          </w:p>
        </w:tc>
      </w:tr>
      <w:tr>
        <w:tblPrEx>
          <w:tblLayout w:type="fixed"/>
          <w:tblCellMar>
            <w:top w:w="0" w:type="dxa"/>
            <w:left w:w="10" w:type="dxa"/>
            <w:bottom w:w="0" w:type="dxa"/>
            <w:right w:w="10" w:type="dxa"/>
          </w:tblCellMar>
        </w:tblPrEx>
        <w:trPr>
          <w:trHeight w:val="1982"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新媒体运营</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spacing w:val="7"/>
                <w:sz w:val="24"/>
                <w:szCs w:val="24"/>
                <w:lang w:val="zh-TW" w:eastAsia="zh-TW"/>
              </w:rPr>
              <w:t>引导学生将所学的新媒体基础知识与企业岗位技能进行整合，以项目驱动的方式组织教学来提高学生的新媒体实际运营能力。本课程使学生进一步了解新媒体运营的本质，在项目的实践过程中激发学生的创新意识，提高学生在新媒体实际运营过程中分析问题和解决问题的能力，以便使学生实现从学校到社会的平滑过渡。</w:t>
            </w:r>
          </w:p>
        </w:tc>
      </w:tr>
      <w:tr>
        <w:tblPrEx>
          <w:tblLayout w:type="fixed"/>
          <w:tblCellMar>
            <w:top w:w="0" w:type="dxa"/>
            <w:left w:w="10" w:type="dxa"/>
            <w:bottom w:w="0" w:type="dxa"/>
            <w:right w:w="10" w:type="dxa"/>
          </w:tblCellMar>
        </w:tblPrEx>
        <w:trPr>
          <w:trHeight w:val="2504"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客户服务与管理</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spacing w:val="7"/>
                <w:sz w:val="24"/>
                <w:szCs w:val="24"/>
                <w:lang w:val="zh-TW" w:eastAsia="zh-TW"/>
              </w:rPr>
              <w:t>本课程整合了客户服务与客户关系管理两大内容体系，从初识客户服务管理、客户服务与管理的技术与工具、客户开发、客户沟通、客户信息管理、客户满意度管理、客户忠诚度管理、客户投诉管理、客户服务策略等多个角度，采用理论与案例相结合的形式，深度剖析了客户服务与管理的核心思路和方法，旨在帮助学生掌握实施客户服务与管理的有效策略和方法。</w:t>
            </w:r>
          </w:p>
        </w:tc>
      </w:tr>
    </w:tbl>
    <w:p>
      <w:pPr>
        <w:pStyle w:val="8"/>
        <w:keepNext w:val="0"/>
        <w:keepLines w:val="0"/>
        <w:pageBreakBefore w:val="0"/>
        <w:kinsoku/>
        <w:wordWrap/>
        <w:overflowPunct/>
        <w:topLinePunct w:val="0"/>
        <w:autoSpaceDE/>
        <w:autoSpaceDN/>
        <w:bidi w:val="0"/>
        <w:spacing w:line="480" w:lineRule="exact"/>
        <w:ind w:left="0" w:leftChars="0"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bookmarkStart w:id="35" w:name="bookmark67"/>
      <w:bookmarkEnd w:id="35"/>
      <w:r>
        <w:rPr>
          <w:rFonts w:hint="eastAsia" w:ascii="仿宋_GB2312" w:hAnsi="仿宋_GB2312" w:eastAsia="仿宋_GB2312" w:cs="仿宋_GB2312"/>
          <w:kern w:val="2"/>
          <w:sz w:val="28"/>
          <w:szCs w:val="28"/>
          <w:u w:val="none"/>
          <w:shd w:val="clear" w:color="auto" w:fill="auto"/>
          <w:lang w:val="en-US" w:eastAsia="zh-CN" w:bidi="ar-SA"/>
        </w:rPr>
        <w:t>3.实践性教学环节</w:t>
      </w:r>
    </w:p>
    <w:p>
      <w:pPr>
        <w:pStyle w:val="8"/>
        <w:wordWrap/>
        <w:spacing w:line="480" w:lineRule="exact"/>
        <w:ind w:left="0" w:leftChars="0" w:firstLine="560" w:firstLineChars="200"/>
        <w:jc w:val="both"/>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本专业与</w:t>
      </w:r>
      <w:r>
        <w:rPr>
          <w:rFonts w:hint="eastAsia" w:ascii="仿宋" w:hAnsi="仿宋" w:eastAsia="仿宋" w:cs="仿宋"/>
          <w:color w:val="000000"/>
          <w:sz w:val="28"/>
          <w:szCs w:val="28"/>
          <w:lang w:val="zh-TW" w:eastAsia="zh-CN" w:bidi="ar-SA"/>
        </w:rPr>
        <w:t>巴彦淖尔市</w:t>
      </w:r>
      <w:r>
        <w:rPr>
          <w:rFonts w:hint="eastAsia" w:ascii="仿宋" w:hAnsi="仿宋" w:eastAsia="仿宋" w:cs="仿宋"/>
          <w:color w:val="000000"/>
          <w:sz w:val="28"/>
          <w:szCs w:val="28"/>
          <w:lang w:val="en-US" w:eastAsia="zh-CN" w:bidi="ar-SA"/>
        </w:rPr>
        <w:t>电子商务产业园区、内蒙古睿智宏远电子商务有限公司、包头市骑士农牧业有限责任公司、第一视频通信传媒有限公司、内蒙古广志网络科技有限公司建立深度合作关系并建设校外实训基地。通过建立校内实训室、校企合作的形式，采用校内实训课程、找岗定位、工学交替、顶岗实习、志愿者服务等方式引导学生参与实践教学，最终实现理论与实践相结合。</w:t>
      </w:r>
    </w:p>
    <w:p>
      <w:pPr>
        <w:wordWrap/>
        <w:spacing w:line="480" w:lineRule="exact"/>
        <w:ind w:firstLine="560" w:firstLineChars="200"/>
        <w:textAlignment w:val="auto"/>
        <w:rPr>
          <w:rFonts w:hint="eastAsia" w:ascii="仿宋" w:hAnsi="仿宋" w:eastAsia="仿宋" w:cs="仿宋"/>
          <w:color w:val="000000"/>
          <w:kern w:val="2"/>
          <w:sz w:val="28"/>
          <w:szCs w:val="28"/>
          <w:u w:val="none"/>
          <w:shd w:val="clear" w:color="auto" w:fill="auto"/>
          <w:lang w:val="en-US" w:eastAsia="zh-CN" w:bidi="ar-SA"/>
        </w:rPr>
      </w:pPr>
      <w:r>
        <w:rPr>
          <w:rFonts w:hint="eastAsia" w:ascii="仿宋" w:hAnsi="仿宋" w:eastAsia="仿宋" w:cs="仿宋"/>
          <w:color w:val="000000"/>
          <w:kern w:val="2"/>
          <w:sz w:val="28"/>
          <w:szCs w:val="28"/>
          <w:u w:val="none"/>
          <w:shd w:val="clear" w:color="auto" w:fill="auto"/>
          <w:lang w:val="en-US" w:eastAsia="zh-CN" w:bidi="ar-SA"/>
        </w:rPr>
        <w:t>（1）找岗定位。为了树立学生专业学习信心，使学生了解所学专业对应的岗位职责，明确在校期间的学习目标，安排新生在入学教育期间到合作企业进行为期半天的找岗定位，作为专业课的一次认识实习。</w:t>
      </w:r>
    </w:p>
    <w:p>
      <w:pPr>
        <w:wordWrap/>
        <w:spacing w:line="480" w:lineRule="exact"/>
        <w:ind w:firstLine="560" w:firstLineChars="200"/>
        <w:textAlignment w:val="auto"/>
        <w:rPr>
          <w:rFonts w:hint="eastAsia" w:ascii="仿宋" w:hAnsi="仿宋" w:eastAsia="仿宋" w:cs="仿宋"/>
          <w:color w:val="000000"/>
          <w:kern w:val="2"/>
          <w:sz w:val="28"/>
          <w:szCs w:val="28"/>
          <w:u w:val="none"/>
          <w:shd w:val="clear" w:color="auto" w:fill="auto"/>
          <w:lang w:val="en-US" w:eastAsia="zh-CN" w:bidi="ar-SA"/>
        </w:rPr>
      </w:pPr>
      <w:r>
        <w:rPr>
          <w:rFonts w:hint="eastAsia" w:ascii="仿宋" w:hAnsi="仿宋" w:eastAsia="仿宋" w:cs="仿宋"/>
          <w:color w:val="000000"/>
          <w:kern w:val="2"/>
          <w:sz w:val="28"/>
          <w:szCs w:val="28"/>
          <w:u w:val="none"/>
          <w:shd w:val="clear" w:color="auto" w:fill="auto"/>
          <w:lang w:val="en-US" w:eastAsia="zh-CN" w:bidi="ar-SA"/>
        </w:rPr>
        <w:t>（2）工学交替。专业基础课程学习完毕后专业核心课程学习过程中安排学生到企业参与不超过三个月的工学交替，进行跟岗实践，了解电商企业及企业电商岗位工作的基本内容和流程。</w:t>
      </w:r>
    </w:p>
    <w:p>
      <w:pPr>
        <w:wordWrap/>
        <w:spacing w:line="480" w:lineRule="exact"/>
        <w:ind w:firstLine="560" w:firstLineChars="200"/>
        <w:textAlignment w:val="auto"/>
        <w:rPr>
          <w:rFonts w:hint="eastAsia" w:ascii="仿宋" w:hAnsi="仿宋" w:eastAsia="仿宋" w:cs="仿宋"/>
          <w:color w:val="000000"/>
          <w:kern w:val="2"/>
          <w:sz w:val="28"/>
          <w:szCs w:val="28"/>
          <w:u w:val="none"/>
          <w:shd w:val="clear" w:color="auto" w:fill="auto"/>
          <w:lang w:val="en-US" w:eastAsia="zh-CN" w:bidi="ar-SA"/>
        </w:rPr>
      </w:pPr>
      <w:r>
        <w:rPr>
          <w:rFonts w:hint="eastAsia" w:ascii="仿宋" w:hAnsi="仿宋" w:eastAsia="仿宋" w:cs="仿宋"/>
          <w:color w:val="000000"/>
          <w:kern w:val="2"/>
          <w:sz w:val="28"/>
          <w:szCs w:val="28"/>
          <w:u w:val="none"/>
          <w:shd w:val="clear" w:color="auto" w:fill="auto"/>
          <w:lang w:val="en-US" w:eastAsia="zh-CN" w:bidi="ar-SA"/>
        </w:rPr>
        <w:t>（3）顶岗实习。全部课程学习完毕后安排学生进入合作企业参与为期20周的顶岗实习。实习过程中进行直播销售与运营、内容策 划与编辑、新媒体运营、网络营销推广等实习实训，最终实习鉴定由企业根据学生考核成绩做出综合评价，作为顶岗实习总成绩。</w:t>
      </w:r>
    </w:p>
    <w:p>
      <w:pPr>
        <w:pStyle w:val="5"/>
        <w:wordWrap/>
        <w:spacing w:line="480" w:lineRule="exact"/>
        <w:ind w:firstLine="560" w:firstLineChars="200"/>
        <w:textAlignment w:val="auto"/>
        <w:rPr>
          <w:rFonts w:hint="eastAsia" w:ascii="仿宋" w:hAnsi="仿宋" w:eastAsia="仿宋" w:cs="仿宋"/>
          <w:color w:val="000000"/>
          <w:kern w:val="2"/>
          <w:sz w:val="28"/>
          <w:szCs w:val="28"/>
          <w:u w:val="none"/>
          <w:shd w:val="clear" w:color="auto" w:fill="auto"/>
          <w:lang w:val="en-US" w:eastAsia="zh-CN" w:bidi="ar-SA"/>
        </w:rPr>
      </w:pPr>
      <w:r>
        <w:rPr>
          <w:rFonts w:hint="eastAsia" w:ascii="仿宋" w:hAnsi="仿宋" w:eastAsia="仿宋" w:cs="仿宋"/>
          <w:color w:val="000000"/>
          <w:kern w:val="2"/>
          <w:sz w:val="28"/>
          <w:szCs w:val="28"/>
          <w:u w:val="none"/>
          <w:shd w:val="clear" w:color="auto" w:fill="auto"/>
          <w:lang w:val="en-US" w:eastAsia="zh-CN" w:bidi="ar-SA"/>
        </w:rPr>
        <w:t>（4）校内实训课。专业实训课在校内实训室完成，按照课程大纲的要求由任课教师指导并按课程标准要求进行技能一一考核。</w:t>
      </w:r>
    </w:p>
    <w:p>
      <w:pPr>
        <w:pStyle w:val="5"/>
        <w:wordWrap/>
        <w:spacing w:line="480" w:lineRule="exact"/>
        <w:ind w:firstLine="560" w:firstLineChars="200"/>
        <w:textAlignment w:val="auto"/>
        <w:rPr>
          <w:rFonts w:hint="eastAsia" w:ascii="仿宋" w:hAnsi="仿宋" w:eastAsia="仿宋" w:cs="仿宋"/>
          <w:color w:val="000000"/>
          <w:kern w:val="2"/>
          <w:sz w:val="28"/>
          <w:szCs w:val="28"/>
          <w:u w:val="none"/>
          <w:shd w:val="clear" w:color="auto" w:fill="auto"/>
          <w:lang w:val="en-US" w:eastAsia="zh-CN" w:bidi="ar-SA"/>
        </w:rPr>
      </w:pPr>
      <w:r>
        <w:rPr>
          <w:rFonts w:hint="eastAsia" w:ascii="仿宋" w:hAnsi="仿宋" w:eastAsia="仿宋" w:cs="仿宋"/>
          <w:color w:val="000000"/>
          <w:kern w:val="2"/>
          <w:sz w:val="28"/>
          <w:szCs w:val="28"/>
          <w:u w:val="none"/>
          <w:shd w:val="clear" w:color="auto" w:fill="auto"/>
          <w:lang w:val="en-US" w:eastAsia="zh-CN" w:bidi="ar-SA"/>
        </w:rPr>
        <w:t>（5）学生可从1-4门专业选修课中任选两门学习并获得4学分。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实施保障</w:t>
      </w:r>
    </w:p>
    <w:p>
      <w:pPr>
        <w:pStyle w:val="5"/>
        <w:numPr>
          <w:ilvl w:val="0"/>
          <w:numId w:val="2"/>
        </w:numPr>
        <w:spacing w:line="480" w:lineRule="exact"/>
        <w:ind w:firstLine="562" w:firstLineChars="200"/>
        <w:rPr>
          <w:rFonts w:hint="eastAsia"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sz w:val="28"/>
          <w:szCs w:val="28"/>
          <w:lang w:val="en-US" w:eastAsia="zh-CN" w:bidi="ar-SA"/>
        </w:rPr>
        <w:t>师资队伍</w:t>
      </w:r>
    </w:p>
    <w:p>
      <w:pPr>
        <w:pStyle w:val="5"/>
        <w:keepNext w:val="0"/>
        <w:keepLines w:val="0"/>
        <w:pageBreakBefore w:val="0"/>
        <w:kinsoku/>
        <w:wordWrap/>
        <w:overflowPunct/>
        <w:topLinePunct w:val="0"/>
        <w:autoSpaceDE/>
        <w:autoSpaceDN/>
        <w:bidi w:val="0"/>
        <w:spacing w:line="480" w:lineRule="exact"/>
        <w:ind w:left="0" w:leftChars="0"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建立</w:t>
      </w:r>
      <w:r>
        <w:rPr>
          <w:rFonts w:hint="eastAsia" w:ascii="仿宋_GB2312" w:hAnsi="仿宋_GB2312" w:eastAsia="仿宋_GB2312" w:cs="仿宋_GB2312"/>
          <w:color w:val="000000"/>
          <w:kern w:val="0"/>
          <w:sz w:val="28"/>
          <w:szCs w:val="28"/>
        </w:rPr>
        <w:t>以专业带头人为核心，以专业</w:t>
      </w:r>
      <w:r>
        <w:rPr>
          <w:rFonts w:hint="eastAsia" w:ascii="仿宋_GB2312" w:hAnsi="仿宋_GB2312" w:eastAsia="仿宋_GB2312" w:cs="仿宋_GB2312"/>
          <w:color w:val="000000"/>
          <w:kern w:val="0"/>
          <w:sz w:val="28"/>
          <w:szCs w:val="28"/>
          <w:lang w:val="en-US" w:eastAsia="zh-CN"/>
        </w:rPr>
        <w:t>工作室</w:t>
      </w:r>
      <w:r>
        <w:rPr>
          <w:rFonts w:hint="eastAsia" w:ascii="仿宋_GB2312" w:hAnsi="仿宋_GB2312" w:eastAsia="仿宋_GB2312" w:cs="仿宋_GB2312"/>
          <w:color w:val="000000"/>
          <w:kern w:val="0"/>
          <w:sz w:val="28"/>
          <w:szCs w:val="28"/>
        </w:rPr>
        <w:t>为载体，</w:t>
      </w:r>
      <w:r>
        <w:rPr>
          <w:rFonts w:hint="eastAsia" w:ascii="仿宋_GB2312" w:hAnsi="仿宋_GB2312" w:eastAsia="仿宋_GB2312" w:cs="仿宋_GB2312"/>
          <w:color w:val="000000"/>
          <w:kern w:val="0"/>
          <w:sz w:val="28"/>
          <w:szCs w:val="28"/>
          <w:lang w:eastAsia="zh-CN"/>
        </w:rPr>
        <w:t>本校专任教师为基础，外聘兼职教师为辅助的师资队伍。</w:t>
      </w:r>
      <w:r>
        <w:rPr>
          <w:rFonts w:hint="eastAsia" w:ascii="仿宋_GB2312" w:hAnsi="仿宋_GB2312" w:eastAsia="仿宋_GB2312" w:cs="仿宋_GB2312"/>
          <w:color w:val="000000"/>
          <w:kern w:val="0"/>
          <w:sz w:val="28"/>
          <w:szCs w:val="28"/>
          <w:lang w:val="en-US" w:eastAsia="zh-CN"/>
        </w:rPr>
        <w:t>按照不低于18：1的生师比配备专业课教师。</w:t>
      </w:r>
      <w:r>
        <w:rPr>
          <w:rFonts w:hint="eastAsia" w:ascii="仿宋_GB2312" w:hAnsi="仿宋_GB2312" w:eastAsia="仿宋_GB2312" w:cs="仿宋_GB2312"/>
          <w:color w:val="000000"/>
          <w:kern w:val="0"/>
          <w:sz w:val="28"/>
          <w:szCs w:val="28"/>
          <w:lang w:eastAsia="zh-CN"/>
        </w:rPr>
        <w:t>专任教师全部为本科以上学历、</w:t>
      </w:r>
      <w:r>
        <w:rPr>
          <w:rFonts w:hint="eastAsia" w:ascii="仿宋_GB2312" w:hAnsi="仿宋_GB2312" w:eastAsia="仿宋_GB2312" w:cs="仿宋_GB2312"/>
          <w:color w:val="000000"/>
          <w:kern w:val="0"/>
          <w:sz w:val="28"/>
          <w:szCs w:val="28"/>
          <w:lang w:val="en-US" w:eastAsia="zh-CN"/>
        </w:rPr>
        <w:t>设计</w:t>
      </w:r>
      <w:r>
        <w:rPr>
          <w:rFonts w:hint="eastAsia" w:ascii="仿宋_GB2312" w:hAnsi="仿宋_GB2312" w:eastAsia="仿宋_GB2312" w:cs="仿宋_GB2312"/>
          <w:color w:val="000000"/>
          <w:kern w:val="0"/>
          <w:sz w:val="28"/>
          <w:szCs w:val="28"/>
          <w:lang w:eastAsia="zh-CN"/>
        </w:rPr>
        <w:t>专业</w:t>
      </w:r>
      <w:r>
        <w:rPr>
          <w:rFonts w:hint="eastAsia" w:ascii="仿宋_GB2312" w:hAnsi="仿宋_GB2312" w:eastAsia="仿宋_GB2312" w:cs="仿宋_GB2312"/>
          <w:color w:val="000000"/>
          <w:kern w:val="0"/>
          <w:sz w:val="28"/>
          <w:szCs w:val="28"/>
          <w:lang w:val="en-US" w:eastAsia="zh-CN"/>
        </w:rPr>
        <w:t>背景</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持</w:t>
      </w:r>
      <w:r>
        <w:rPr>
          <w:rFonts w:hint="eastAsia" w:ascii="仿宋_GB2312" w:hAnsi="仿宋_GB2312" w:eastAsia="仿宋_GB2312" w:cs="仿宋_GB2312"/>
          <w:color w:val="000000"/>
          <w:kern w:val="0"/>
          <w:sz w:val="28"/>
          <w:szCs w:val="28"/>
          <w:lang w:eastAsia="zh-CN"/>
        </w:rPr>
        <w:t>高</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lang w:eastAsia="zh-CN"/>
        </w:rPr>
        <w:t>教师资格证教师。外聘教师优选师德高尚、专业水平高、教学能力强，</w:t>
      </w:r>
      <w:r>
        <w:rPr>
          <w:rFonts w:hint="eastAsia" w:ascii="仿宋_GB2312" w:hAnsi="仿宋_GB2312" w:eastAsia="仿宋_GB2312" w:cs="仿宋_GB2312"/>
          <w:color w:val="000000"/>
          <w:kern w:val="0"/>
          <w:sz w:val="28"/>
          <w:szCs w:val="28"/>
          <w:lang w:val="en-US" w:eastAsia="zh-CN"/>
        </w:rPr>
        <w:t>同时职称等级和学历水平相对较高的教师。</w:t>
      </w:r>
      <w:r>
        <w:rPr>
          <w:rFonts w:hint="eastAsia" w:ascii="仿宋_GB2312" w:hAnsi="仿宋_GB2312" w:eastAsia="仿宋_GB2312" w:cs="仿宋_GB2312"/>
          <w:color w:val="000000"/>
          <w:kern w:val="0"/>
          <w:sz w:val="28"/>
          <w:szCs w:val="28"/>
          <w:lang w:eastAsia="zh-CN"/>
        </w:rPr>
        <w:t>建成</w:t>
      </w:r>
      <w:r>
        <w:rPr>
          <w:rFonts w:hint="eastAsia" w:ascii="仿宋_GB2312" w:hAnsi="仿宋_GB2312" w:eastAsia="仿宋_GB2312" w:cs="仿宋_GB2312"/>
          <w:color w:val="000000"/>
          <w:kern w:val="0"/>
          <w:sz w:val="28"/>
          <w:szCs w:val="28"/>
        </w:rPr>
        <w:t>专兼结合、结构合理、动态组合、相对稳定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团结合作的“</w:t>
      </w:r>
      <w:r>
        <w:rPr>
          <w:rFonts w:hint="eastAsia" w:ascii="仿宋_GB2312" w:hAnsi="仿宋_GB2312" w:eastAsia="仿宋_GB2312" w:cs="仿宋_GB2312"/>
          <w:color w:val="000000"/>
          <w:kern w:val="0"/>
          <w:sz w:val="28"/>
          <w:szCs w:val="28"/>
          <w:lang w:val="en-US" w:eastAsia="zh-CN"/>
        </w:rPr>
        <w:t>三元模式</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三元”即具备教学能力、实践指导能力、就业创业指导能力</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专业教学团队</w:t>
      </w:r>
      <w:r>
        <w:rPr>
          <w:rFonts w:hint="eastAsia" w:ascii="仿宋_GB2312" w:hAnsi="仿宋_GB2312" w:eastAsia="仿宋_GB2312" w:cs="仿宋_GB2312"/>
          <w:color w:val="000000"/>
          <w:kern w:val="0"/>
          <w:sz w:val="28"/>
          <w:szCs w:val="28"/>
          <w:lang w:eastAsia="zh-CN"/>
        </w:rPr>
        <w:t>。</w:t>
      </w:r>
    </w:p>
    <w:p>
      <w:pPr>
        <w:pStyle w:val="5"/>
        <w:numPr>
          <w:ilvl w:val="0"/>
          <w:numId w:val="2"/>
        </w:numPr>
        <w:shd w:val="clear" w:color="auto" w:fill="auto"/>
        <w:spacing w:line="480" w:lineRule="exact"/>
        <w:ind w:firstLine="562"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bCs/>
          <w:color w:val="000000"/>
          <w:sz w:val="28"/>
          <w:szCs w:val="28"/>
          <w:lang w:val="en-US" w:eastAsia="zh-CN" w:bidi="ar-SA"/>
        </w:rPr>
        <w:t>教学设施</w:t>
      </w:r>
      <w:bookmarkStart w:id="36" w:name="bookmark70"/>
      <w:bookmarkEnd w:id="36"/>
      <w:bookmarkStart w:id="37" w:name="bookmark69"/>
      <w:bookmarkEnd w:id="37"/>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bookmarkStart w:id="38" w:name="bookmark75"/>
      <w:bookmarkEnd w:id="38"/>
      <w:bookmarkStart w:id="39" w:name="bookmark73"/>
      <w:bookmarkEnd w:id="39"/>
      <w:r>
        <w:rPr>
          <w:rFonts w:hint="eastAsia" w:ascii="仿宋_GB2312" w:hAnsi="仿宋_GB2312" w:eastAsia="仿宋_GB2312" w:cs="仿宋_GB2312"/>
          <w:color w:val="000000"/>
          <w:kern w:val="0"/>
          <w:sz w:val="28"/>
          <w:szCs w:val="28"/>
          <w:lang w:val="en-US" w:eastAsia="zh-CN"/>
        </w:rPr>
        <w:t>教学设施主要包括能够满足正常的课程教学、实习实训所需的专业教室、校内实训室和校外实训基地。</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专业教室基本条件专业教室一般配备黑（白）板、多媒体计算机、投影设备、音响设备，互联网接入或WiFi环境，并实施网络安全防护措施，安装应急照明装置并保持良好状态，符合紧急疏散要求，标志明显，保持逃生通道畅通无阻。</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2.校内实训室建设</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网络营销策划实训室。网络营销策划实训室配备服务器、计算机、交换机、拍摄器材、打光板、网络设备投影设备、白板、大幅面显示屏，实训室支持营销策划、网络营销活动策划、品牌策划与推广文案创意与撰写、网络广告、图文排版与制作、视频编辑与制作等课程的教学与实训。</w:t>
      </w:r>
    </w:p>
    <w:p>
      <w:pPr>
        <w:pStyle w:val="5"/>
        <w:keepNext w:val="0"/>
        <w:keepLines w:val="0"/>
        <w:pageBreakBefore w:val="0"/>
        <w:numPr>
          <w:ilvl w:val="0"/>
          <w:numId w:val="3"/>
        </w:numPr>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新媒体推广实训室。新媒体推广实训室配备服务器、计算机、交换机、网络设备、投影设备、白板，网终覆盖，实训室支持消费者行为分析、新媒体推广、社群营销网络社交沟通、搜索引擎营销等课程的教学与实训。</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（3）网络客户服务实训室。网络客户服务实训室配备服务器、计算机、交换机、网络设备、投影设备、白板，实训室支持客户服务与管理、网络社交沟通等课程的教学与实训。</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网络营销综合实训室。网络营销综合实训室配备服务器、计算机、交换机、网络设备、投影设备、白板、大幅面显示屏，实训室支持社群营销、内容营销、新媒体推广、互联网产品销售、整合营销等课程的教学与实训。</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校外实训基地建设。校外实训基地基本要求为：具有稳定的校外实训基地；能够开展网络营销策划、新媒体编辑、网络渠道推广、客户服务、互联网产品销售等实训活动，实训设施齐备，实训岗位实训指导教师确定，实训管理及实施规章制度齐全。</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4.学生实习基地建设。</w:t>
      </w:r>
      <w:r>
        <w:rPr>
          <w:rFonts w:hint="eastAsia" w:ascii="仿宋" w:hAnsi="仿宋" w:eastAsia="仿宋" w:cs="仿宋"/>
          <w:color w:val="000000"/>
          <w:sz w:val="28"/>
          <w:szCs w:val="28"/>
          <w:lang w:val="en-US" w:eastAsia="zh-CN" w:bidi="ar-SA"/>
        </w:rPr>
        <w:t>与</w:t>
      </w:r>
      <w:r>
        <w:rPr>
          <w:rFonts w:hint="eastAsia" w:ascii="仿宋" w:hAnsi="仿宋" w:eastAsia="仿宋" w:cs="仿宋"/>
          <w:color w:val="000000"/>
          <w:sz w:val="28"/>
          <w:szCs w:val="28"/>
          <w:lang w:val="zh-TW" w:eastAsia="zh-CN" w:bidi="ar-SA"/>
        </w:rPr>
        <w:t>巴彦淖尔市</w:t>
      </w:r>
      <w:r>
        <w:rPr>
          <w:rFonts w:hint="eastAsia" w:ascii="仿宋" w:hAnsi="仿宋" w:eastAsia="仿宋" w:cs="仿宋"/>
          <w:color w:val="000000"/>
          <w:sz w:val="28"/>
          <w:szCs w:val="28"/>
          <w:lang w:val="en-US" w:eastAsia="zh-CN" w:bidi="ar-SA"/>
        </w:rPr>
        <w:t>电子商务产业园区、内蒙古睿智宏远电子商务有限公司、包头市骑士农牧业有限责任公司、第一视频通信传媒有限公司、内蒙古广志网络科技有限公司建立深度合作关系并建设校外实训基地。</w:t>
      </w:r>
      <w:r>
        <w:rPr>
          <w:rFonts w:hint="eastAsia" w:ascii="仿宋_GB2312" w:hAnsi="仿宋_GB2312" w:eastAsia="仿宋_GB2312" w:cs="仿宋_GB2312"/>
          <w:color w:val="000000"/>
          <w:kern w:val="0"/>
          <w:sz w:val="28"/>
          <w:szCs w:val="28"/>
          <w:lang w:val="en-US" w:eastAsia="zh-CN"/>
        </w:rPr>
        <w:t>具有稳定的校外实习基地，能提供网络营销策划、新媒体编辑、网络渠道推广、客户服务、互联网产品销售等相关实习岗位，能涵盖当前相关产业发展的主流技术，可接纳一定规模的学生实习，能够配备相应数量的指导教师对学生实习进行指导和管理，有保证实习生日常工作、学习、生活的规章制度，有安全、保险保障。</w:t>
      </w:r>
    </w:p>
    <w:p>
      <w:pPr>
        <w:keepNext w:val="0"/>
        <w:keepLines w:val="0"/>
        <w:pageBreakBefore w:val="0"/>
        <w:numPr>
          <w:ilvl w:val="0"/>
          <w:numId w:val="1"/>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rPr>
      </w:pPr>
      <w:bookmarkStart w:id="40" w:name="bookmark79"/>
      <w:bookmarkEnd w:id="40"/>
      <w:r>
        <w:rPr>
          <w:rFonts w:hint="eastAsia" w:ascii="仿宋_GB2312" w:hAnsi="仿宋_GB2312" w:eastAsia="仿宋_GB2312" w:cs="仿宋_GB2312"/>
          <w:b/>
          <w:bCs/>
          <w:sz w:val="28"/>
          <w:szCs w:val="28"/>
          <w:lang w:val="en-US" w:eastAsia="zh-CN"/>
        </w:rPr>
        <w:t>质量保障</w:t>
      </w:r>
    </w:p>
    <w:p>
      <w:pPr>
        <w:keepNext w:val="0"/>
        <w:keepLines w:val="0"/>
        <w:pageBreakBefore w:val="0"/>
        <w:widowControl w:val="0"/>
        <w:tabs>
          <w:tab w:val="left" w:pos="445"/>
        </w:tabs>
        <w:kinsoku/>
        <w:wordWrap/>
        <w:overflowPunct/>
        <w:topLinePunct w:val="0"/>
        <w:autoSpaceDE/>
        <w:autoSpaceDN/>
        <w:bidi w:val="0"/>
        <w:spacing w:line="480" w:lineRule="exact"/>
        <w:ind w:right="78"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一）建立起学校和专业学院专业建设和教学质量诊断与改进机制。有全面的专业教学质量监控管理制度,课堂教学、教学评价、实习实训、毕业设计以及专业调研、人才培养方案更新、资源建设等方面质量标准建设完善,通过教学实施、过程监控、质量评价和持续改进,达成人才培养规格。</w:t>
      </w:r>
    </w:p>
    <w:p>
      <w:pPr>
        <w:keepNext w:val="0"/>
        <w:keepLines w:val="0"/>
        <w:pageBreakBefore w:val="0"/>
        <w:widowControl w:val="0"/>
        <w:tabs>
          <w:tab w:val="left" w:pos="445"/>
        </w:tabs>
        <w:kinsoku/>
        <w:wordWrap/>
        <w:overflowPunct/>
        <w:topLinePunct w:val="0"/>
        <w:autoSpaceDE/>
        <w:autoSpaceDN/>
        <w:bidi w:val="0"/>
        <w:spacing w:line="480" w:lineRule="exact"/>
        <w:ind w:right="80"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二）建立起完善的日常教学管理机制。日常教学组织运行与管理制度完备,定期开展课程建设水平和教学质量诊断与改进,巡课、听课、评教、评学等制度完善,与企业联动的实践教学环节督导制度全面,教学纪律严明,教学组织功能较强,定期开展公开课、示范课等教研活动。</w:t>
      </w:r>
    </w:p>
    <w:p>
      <w:pPr>
        <w:keepNext w:val="0"/>
        <w:keepLines w:val="0"/>
        <w:pageBreakBefore w:val="0"/>
        <w:widowControl w:val="0"/>
        <w:tabs>
          <w:tab w:val="left" w:pos="445"/>
        </w:tabs>
        <w:kinsoku/>
        <w:wordWrap/>
        <w:overflowPunct/>
        <w:topLinePunct w:val="0"/>
        <w:autoSpaceDE/>
        <w:autoSpaceDN/>
        <w:bidi w:val="0"/>
        <w:spacing w:line="480" w:lineRule="exact"/>
        <w:ind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（三）学校招生就业部门建立起毕业生跟踪反馈机制及社会评价机制,定期对生源情况、在校生学业水平、毕业生就业情况等进行分析,定期评价人才培养质量和培养目标达成情况。</w:t>
      </w:r>
    </w:p>
    <w:p>
      <w:pPr>
        <w:keepNext w:val="0"/>
        <w:keepLines w:val="0"/>
        <w:pageBreakBefore w:val="0"/>
        <w:widowControl w:val="0"/>
        <w:tabs>
          <w:tab w:val="left" w:pos="445"/>
        </w:tabs>
        <w:kinsoku/>
        <w:wordWrap/>
        <w:overflowPunct/>
        <w:topLinePunct w:val="0"/>
        <w:autoSpaceDE/>
        <w:autoSpaceDN/>
        <w:bidi w:val="0"/>
        <w:spacing w:line="480" w:lineRule="exact"/>
        <w:ind w:right="80" w:firstLine="560" w:firstLineChars="200"/>
        <w:jc w:val="both"/>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（四）建立起专业教学工作室，工作室利用评价分析结果改进专业教学,持续提高人才培养质量。</w:t>
      </w:r>
    </w:p>
    <w:p>
      <w:pPr>
        <w:numPr>
          <w:ilvl w:val="0"/>
          <w:numId w:val="1"/>
        </w:numPr>
        <w:adjustRightInd w:val="0"/>
        <w:snapToGrid w:val="0"/>
        <w:spacing w:line="48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毕业要求</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实行</w:t>
      </w:r>
      <w:r>
        <w:rPr>
          <w:rFonts w:hint="eastAsia" w:ascii="仿宋_GB2312" w:hAnsi="仿宋_GB2312" w:eastAsia="仿宋_GB2312" w:cs="仿宋_GB2312"/>
          <w:color w:val="000000"/>
          <w:kern w:val="0"/>
          <w:sz w:val="28"/>
          <w:szCs w:val="28"/>
          <w:lang w:val="en-US" w:eastAsia="zh-CN"/>
        </w:rPr>
        <w:t>2.5+0.5</w:t>
      </w:r>
      <w:r>
        <w:rPr>
          <w:rFonts w:hint="eastAsia" w:ascii="仿宋_GB2312" w:hAnsi="仿宋_GB2312" w:eastAsia="仿宋_GB2312" w:cs="仿宋_GB2312"/>
          <w:color w:val="000000"/>
          <w:kern w:val="0"/>
          <w:sz w:val="28"/>
          <w:szCs w:val="28"/>
        </w:rPr>
        <w:t>培养模式，</w:t>
      </w:r>
      <w:r>
        <w:rPr>
          <w:rFonts w:hint="eastAsia" w:ascii="仿宋_GB2312" w:hAnsi="仿宋_GB2312" w:eastAsia="仿宋_GB2312" w:cs="仿宋_GB2312"/>
          <w:color w:val="000000"/>
          <w:kern w:val="0"/>
          <w:sz w:val="28"/>
          <w:szCs w:val="28"/>
          <w:lang w:eastAsia="zh-CN"/>
        </w:rPr>
        <w:t>即</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lang w:eastAsia="zh-CN"/>
        </w:rPr>
        <w:t>年学校教学和</w:t>
      </w:r>
      <w:r>
        <w:rPr>
          <w:rFonts w:hint="eastAsia" w:ascii="仿宋_GB2312" w:hAnsi="仿宋_GB2312" w:eastAsia="仿宋_GB2312" w:cs="仿宋_GB2312"/>
          <w:color w:val="000000"/>
          <w:kern w:val="0"/>
          <w:sz w:val="28"/>
          <w:szCs w:val="28"/>
          <w:lang w:val="en-US" w:eastAsia="zh-CN"/>
        </w:rPr>
        <w:t>0.5</w:t>
      </w:r>
      <w:r>
        <w:rPr>
          <w:rFonts w:hint="eastAsia" w:ascii="仿宋_GB2312" w:hAnsi="仿宋_GB2312" w:eastAsia="仿宋_GB2312" w:cs="仿宋_GB2312"/>
          <w:color w:val="000000"/>
          <w:kern w:val="0"/>
          <w:sz w:val="28"/>
          <w:szCs w:val="28"/>
          <w:lang w:eastAsia="zh-CN"/>
        </w:rPr>
        <w:t>年</w:t>
      </w:r>
      <w:r>
        <w:rPr>
          <w:rFonts w:hint="eastAsia" w:ascii="仿宋_GB2312" w:hAnsi="仿宋_GB2312" w:eastAsia="仿宋_GB2312" w:cs="仿宋_GB2312"/>
          <w:color w:val="000000"/>
          <w:kern w:val="0"/>
          <w:sz w:val="28"/>
          <w:szCs w:val="28"/>
          <w:lang w:val="en-US" w:eastAsia="zh-CN"/>
        </w:rPr>
        <w:t>公司</w:t>
      </w:r>
      <w:r>
        <w:rPr>
          <w:rFonts w:hint="eastAsia" w:ascii="仿宋_GB2312" w:hAnsi="仿宋_GB2312" w:eastAsia="仿宋_GB2312" w:cs="仿宋_GB2312"/>
          <w:color w:val="000000"/>
          <w:kern w:val="0"/>
          <w:sz w:val="28"/>
          <w:szCs w:val="28"/>
          <w:lang w:eastAsia="zh-CN"/>
        </w:rPr>
        <w:t>实习教学。学生</w:t>
      </w:r>
      <w:r>
        <w:rPr>
          <w:rFonts w:hint="eastAsia" w:ascii="仿宋_GB2312" w:hAnsi="仿宋_GB2312" w:eastAsia="仿宋_GB2312" w:cs="仿宋_GB2312"/>
          <w:color w:val="000000"/>
          <w:kern w:val="0"/>
          <w:sz w:val="28"/>
          <w:szCs w:val="28"/>
        </w:rPr>
        <w:t>完成校内</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rPr>
        <w:t>年理论和实践课学习及</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个月以上的顶岗实习,校内学习期间理论考试及实践技能考核合格,顶岗实习单位考核合格,毕业考试合格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修满</w:t>
      </w:r>
      <w:r>
        <w:rPr>
          <w:rFonts w:hint="eastAsia" w:ascii="仿宋_GB2312" w:hAnsi="仿宋_GB2312" w:eastAsia="仿宋_GB2312" w:cs="仿宋_GB2312"/>
          <w:color w:val="000000"/>
          <w:kern w:val="0"/>
          <w:sz w:val="28"/>
          <w:szCs w:val="28"/>
          <w:lang w:val="en-US" w:eastAsia="zh-CN"/>
        </w:rPr>
        <w:t>177学</w:t>
      </w:r>
      <w:r>
        <w:rPr>
          <w:rFonts w:hint="eastAsia" w:ascii="仿宋_GB2312" w:hAnsi="仿宋_GB2312" w:eastAsia="仿宋_GB2312" w:cs="仿宋_GB2312"/>
          <w:color w:val="000000"/>
          <w:kern w:val="0"/>
          <w:sz w:val="28"/>
          <w:szCs w:val="28"/>
        </w:rPr>
        <w:t>分，方可取得毕业资格。</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rPr>
          <w:rFonts w:hint="eastAsia" w:ascii="仿宋_GB2312" w:hAnsi="仿宋_GB2312" w:eastAsia="仿宋_GB2312" w:cs="仿宋_GB2312"/>
          <w:b/>
          <w:bCs/>
          <w:kern w:val="2"/>
          <w:sz w:val="28"/>
          <w:szCs w:val="28"/>
          <w:u w:val="none"/>
          <w:shd w:val="clear" w:color="auto" w:fill="auto"/>
          <w:lang w:val="en-US" w:eastAsia="zh-CN" w:bidi="ar-SA"/>
        </w:rPr>
      </w:pPr>
      <w:r>
        <w:rPr>
          <w:rFonts w:hint="eastAsia" w:ascii="仿宋_GB2312" w:hAnsi="仿宋_GB2312" w:eastAsia="仿宋_GB2312" w:cs="仿宋_GB2312"/>
          <w:b/>
          <w:bCs/>
          <w:kern w:val="2"/>
          <w:sz w:val="28"/>
          <w:szCs w:val="28"/>
          <w:u w:val="none"/>
          <w:shd w:val="clear" w:color="auto" w:fill="auto"/>
          <w:lang w:val="en-US" w:eastAsia="zh-CN" w:bidi="ar-SA"/>
        </w:rPr>
        <w:t>十一、教学进程安排表见附件</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color w:val="000000"/>
          <w:kern w:val="0"/>
          <w:sz w:val="28"/>
          <w:szCs w:val="28"/>
        </w:rPr>
      </w:pPr>
    </w:p>
    <w:p>
      <w:pPr>
        <w:rPr>
          <w:rFonts w:hint="eastAsia" w:ascii="仿宋" w:hAnsi="仿宋" w:eastAsia="仿宋"/>
          <w:b/>
          <w:bCs/>
          <w:color w:val="000000"/>
          <w:w w:val="90"/>
          <w:sz w:val="36"/>
          <w:szCs w:val="36"/>
          <w:lang w:val="en-US" w:eastAsia="zh-CN"/>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r>
        <w:rPr>
          <w:rFonts w:hint="eastAsia" w:ascii="仿宋" w:hAnsi="仿宋" w:eastAsia="仿宋"/>
          <w:b/>
          <w:bCs/>
          <w:color w:val="000000"/>
          <w:w w:val="90"/>
          <w:sz w:val="36"/>
          <w:szCs w:val="36"/>
        </w:rPr>
        <w:pict>
          <v:shape id="_x0000_s1026" o:spid="_x0000_s1026" o:spt="75" type="#_x0000_t75" style="position:absolute;left:0pt;margin-left:-44.6pt;margin-top:17.15pt;height:681.85pt;width:502.85pt;z-index:251659264;mso-width-relative:page;mso-height-relative:page;" o:ole="t" filled="f" o:preferrelative="t" stroked="f" coordsize="21600,21600">
            <v:path/>
            <v:fill on="f" focussize="0,0"/>
            <v:stroke on="f"/>
            <v:imagedata r:id="rId5" o:title=""/>
            <o:lock v:ext="edit" aspectratio="f"/>
          </v:shape>
          <o:OLEObject Type="Embed" ProgID="Excel.Sheet.12" ShapeID="_x0000_s1026" DrawAspect="Content" ObjectID="_1468075725" r:id="rId4">
            <o:LockedField>false</o:LockedField>
          </o:OLEObject>
        </w:pict>
      </w: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jc w:val="center"/>
        <w:rPr>
          <w:rFonts w:hint="eastAsia" w:ascii="仿宋" w:hAnsi="仿宋" w:eastAsia="仿宋"/>
          <w:b/>
          <w:bCs/>
          <w:color w:val="000000"/>
          <w:w w:val="90"/>
          <w:sz w:val="36"/>
          <w:szCs w:val="36"/>
        </w:rPr>
      </w:pPr>
      <w:r>
        <w:rPr>
          <w:rFonts w:hint="eastAsia" w:ascii="仿宋" w:hAnsi="仿宋" w:eastAsia="仿宋"/>
          <w:b/>
          <w:bCs/>
          <w:color w:val="000000"/>
          <w:w w:val="90"/>
          <w:sz w:val="36"/>
          <w:szCs w:val="36"/>
        </w:rPr>
        <w:t>内蒙</w:t>
      </w:r>
      <w:r>
        <w:rPr>
          <w:rFonts w:hint="eastAsia" w:ascii="仿宋" w:hAnsi="仿宋" w:eastAsia="仿宋" w:cs="Times New Roman"/>
          <w:b/>
          <w:bCs/>
          <w:w w:val="90"/>
          <w:sz w:val="36"/>
          <w:szCs w:val="36"/>
        </w:rPr>
        <w:t>古美术职业学</w:t>
      </w:r>
      <w:r>
        <w:rPr>
          <w:rFonts w:hint="eastAsia" w:ascii="仿宋" w:hAnsi="仿宋" w:eastAsia="仿宋"/>
          <w:b/>
          <w:bCs/>
          <w:color w:val="000000"/>
          <w:w w:val="90"/>
          <w:sz w:val="36"/>
          <w:szCs w:val="36"/>
        </w:rPr>
        <w:t>院专业人才培养方案审定意见书</w:t>
      </w:r>
    </w:p>
    <w:p>
      <w:pPr>
        <w:rPr>
          <w:rFonts w:hint="eastAsia" w:ascii="仿宋" w:hAnsi="仿宋" w:eastAsia="仿宋"/>
          <w:color w:val="000000"/>
          <w:sz w:val="28"/>
          <w:szCs w:val="28"/>
        </w:rPr>
      </w:pPr>
      <w:r>
        <w:rPr>
          <w:rFonts w:hint="eastAsia" w:ascii="仿宋" w:hAnsi="仿宋" w:eastAsia="仿宋"/>
          <w:color w:val="000000"/>
          <w:sz w:val="28"/>
          <w:szCs w:val="28"/>
        </w:rPr>
        <w:t xml:space="preserve">专业学院（公章）： </w:t>
      </w:r>
      <w:r>
        <w:rPr>
          <w:rFonts w:hint="eastAsia" w:ascii="仿宋" w:hAnsi="仿宋" w:eastAsia="仿宋"/>
          <w:color w:val="000000"/>
          <w:sz w:val="28"/>
          <w:szCs w:val="28"/>
          <w:lang w:val="en-US" w:eastAsia="zh-CN"/>
        </w:rPr>
        <w:t>计算机电子商务学院</w:t>
      </w:r>
      <w:r>
        <w:rPr>
          <w:rFonts w:hint="eastAsia" w:ascii="仿宋" w:hAnsi="仿宋" w:eastAsia="仿宋"/>
          <w:color w:val="000000"/>
          <w:sz w:val="28"/>
          <w:szCs w:val="28"/>
        </w:rPr>
        <w:t xml:space="preserve">                          </w:t>
      </w:r>
    </w:p>
    <w:tbl>
      <w:tblPr>
        <w:tblStyle w:val="2"/>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Pr>
          <w:p>
            <w:pPr>
              <w:jc w:val="center"/>
              <w:rPr>
                <w:rFonts w:hint="eastAsia" w:ascii="仿宋" w:hAnsi="仿宋" w:eastAsia="仿宋"/>
                <w:color w:val="000000"/>
                <w:sz w:val="28"/>
                <w:szCs w:val="28"/>
              </w:rPr>
            </w:pPr>
            <w:r>
              <w:rPr>
                <w:rFonts w:hint="eastAsia" w:ascii="仿宋" w:hAnsi="仿宋" w:eastAsia="仿宋"/>
                <w:color w:val="000000"/>
                <w:sz w:val="28"/>
                <w:szCs w:val="28"/>
              </w:rPr>
              <w:t>部门</w:t>
            </w:r>
          </w:p>
        </w:tc>
        <w:tc>
          <w:tcPr>
            <w:tcW w:w="7365" w:type="dxa"/>
          </w:tcPr>
          <w:p>
            <w:pPr>
              <w:jc w:val="center"/>
              <w:rPr>
                <w:rFonts w:hint="eastAsia" w:ascii="仿宋" w:hAnsi="仿宋" w:eastAsia="仿宋"/>
                <w:color w:val="000000"/>
                <w:sz w:val="28"/>
                <w:szCs w:val="28"/>
              </w:rPr>
            </w:pPr>
            <w:r>
              <w:rPr>
                <w:rFonts w:hint="eastAsia" w:ascii="仿宋" w:hAnsi="仿宋" w:eastAsia="仿宋" w:cs="Times New Roman"/>
                <w:sz w:val="28"/>
                <w:szCs w:val="28"/>
              </w:rPr>
              <w:t>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专</w:t>
            </w:r>
          </w:p>
          <w:p>
            <w:pPr>
              <w:jc w:val="center"/>
              <w:rPr>
                <w:rFonts w:ascii="仿宋" w:hAnsi="仿宋" w:eastAsia="仿宋"/>
                <w:color w:val="000000"/>
                <w:sz w:val="28"/>
                <w:szCs w:val="28"/>
              </w:rPr>
            </w:pPr>
            <w:r>
              <w:rPr>
                <w:rFonts w:hint="eastAsia" w:ascii="仿宋" w:hAnsi="仿宋" w:eastAsia="仿宋"/>
                <w:color w:val="000000"/>
                <w:sz w:val="28"/>
                <w:szCs w:val="28"/>
              </w:rPr>
              <w:t>业</w:t>
            </w:r>
          </w:p>
          <w:p>
            <w:pPr>
              <w:jc w:val="center"/>
              <w:rPr>
                <w:rFonts w:ascii="仿宋" w:hAnsi="仿宋" w:eastAsia="仿宋"/>
                <w:color w:val="000000"/>
                <w:sz w:val="28"/>
                <w:szCs w:val="28"/>
              </w:rPr>
            </w:pPr>
            <w:r>
              <w:rPr>
                <w:rFonts w:hint="eastAsia" w:ascii="仿宋" w:hAnsi="仿宋" w:eastAsia="仿宋"/>
                <w:color w:val="000000"/>
                <w:sz w:val="28"/>
                <w:szCs w:val="28"/>
              </w:rPr>
              <w:t>学</w:t>
            </w:r>
          </w:p>
          <w:p>
            <w:pPr>
              <w:jc w:val="center"/>
              <w:rPr>
                <w:rFonts w:hint="eastAsia" w:ascii="仿宋" w:hAnsi="仿宋" w:eastAsia="仿宋"/>
                <w:color w:val="000000"/>
                <w:sz w:val="28"/>
                <w:szCs w:val="28"/>
              </w:rPr>
            </w:pPr>
            <w:r>
              <w:rPr>
                <w:rFonts w:hint="eastAsia" w:ascii="仿宋" w:hAnsi="仿宋" w:eastAsia="仿宋"/>
                <w:color w:val="000000"/>
                <w:sz w:val="28"/>
                <w:szCs w:val="28"/>
              </w:rPr>
              <w:t>院</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专业学院院长签字：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13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教</w:t>
            </w:r>
          </w:p>
          <w:p>
            <w:pPr>
              <w:jc w:val="center"/>
              <w:rPr>
                <w:rFonts w:hint="eastAsia" w:ascii="仿宋" w:hAnsi="仿宋" w:eastAsia="仿宋"/>
                <w:color w:val="000000"/>
                <w:sz w:val="28"/>
                <w:szCs w:val="28"/>
              </w:rPr>
            </w:pPr>
            <w:r>
              <w:rPr>
                <w:rFonts w:hint="eastAsia" w:ascii="仿宋" w:hAnsi="仿宋" w:eastAsia="仿宋"/>
                <w:color w:val="000000"/>
                <w:sz w:val="28"/>
                <w:szCs w:val="28"/>
              </w:rPr>
              <w:t>务</w:t>
            </w:r>
          </w:p>
          <w:p>
            <w:pPr>
              <w:jc w:val="center"/>
              <w:rPr>
                <w:rFonts w:hint="eastAsia" w:ascii="仿宋" w:hAnsi="仿宋" w:eastAsia="仿宋"/>
                <w:color w:val="000000"/>
                <w:sz w:val="28"/>
                <w:szCs w:val="28"/>
              </w:rPr>
            </w:pPr>
            <w:r>
              <w:rPr>
                <w:rFonts w:hint="eastAsia" w:ascii="仿宋" w:hAnsi="仿宋" w:eastAsia="仿宋"/>
                <w:color w:val="000000"/>
                <w:sz w:val="28"/>
                <w:szCs w:val="28"/>
              </w:rPr>
              <w:t>处</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教务处处长签字：</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分</w:t>
            </w:r>
          </w:p>
          <w:p>
            <w:pPr>
              <w:jc w:val="center"/>
              <w:rPr>
                <w:rFonts w:hint="eastAsia" w:ascii="仿宋" w:hAnsi="仿宋" w:eastAsia="仿宋"/>
                <w:color w:val="000000"/>
                <w:sz w:val="28"/>
                <w:szCs w:val="28"/>
              </w:rPr>
            </w:pPr>
            <w:r>
              <w:rPr>
                <w:rFonts w:hint="eastAsia" w:ascii="仿宋" w:hAnsi="仿宋" w:eastAsia="仿宋"/>
                <w:color w:val="000000"/>
                <w:sz w:val="28"/>
                <w:szCs w:val="28"/>
              </w:rPr>
              <w:t>管</w:t>
            </w:r>
          </w:p>
          <w:p>
            <w:pPr>
              <w:jc w:val="center"/>
              <w:rPr>
                <w:rFonts w:ascii="仿宋" w:hAnsi="仿宋" w:eastAsia="仿宋"/>
                <w:color w:val="000000"/>
                <w:sz w:val="28"/>
                <w:szCs w:val="28"/>
              </w:rPr>
            </w:pPr>
            <w:r>
              <w:rPr>
                <w:rFonts w:hint="eastAsia" w:ascii="仿宋" w:hAnsi="仿宋" w:eastAsia="仿宋"/>
                <w:color w:val="000000"/>
                <w:sz w:val="28"/>
                <w:szCs w:val="28"/>
              </w:rPr>
              <w:t>院</w:t>
            </w:r>
          </w:p>
          <w:p>
            <w:pPr>
              <w:jc w:val="center"/>
              <w:rPr>
                <w:rFonts w:hint="eastAsia" w:ascii="仿宋" w:hAnsi="仿宋" w:eastAsia="仿宋"/>
                <w:color w:val="000000"/>
                <w:sz w:val="28"/>
                <w:szCs w:val="28"/>
              </w:rPr>
            </w:pPr>
            <w:r>
              <w:rPr>
                <w:rFonts w:hint="eastAsia" w:ascii="仿宋" w:hAnsi="仿宋" w:eastAsia="仿宋"/>
                <w:color w:val="000000"/>
                <w:sz w:val="28"/>
                <w:szCs w:val="28"/>
              </w:rPr>
              <w:t>长</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分管院长签字：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trPr>
        <w:tc>
          <w:tcPr>
            <w:tcW w:w="1333" w:type="dxa"/>
            <w:vAlign w:val="center"/>
          </w:tcPr>
          <w:p>
            <w:pPr>
              <w:adjustRightInd w:val="0"/>
              <w:snapToGrid w:val="0"/>
              <w:spacing w:line="4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学术委员会</w:t>
            </w:r>
          </w:p>
          <w:p>
            <w:pPr>
              <w:adjustRightInd w:val="0"/>
              <w:snapToGrid w:val="0"/>
              <w:ind w:firstLine="280" w:firstLineChars="100"/>
              <w:jc w:val="both"/>
              <w:rPr>
                <w:rFonts w:hint="eastAsia" w:ascii="仿宋" w:hAnsi="仿宋" w:eastAsia="仿宋"/>
                <w:color w:val="000000"/>
                <w:sz w:val="28"/>
                <w:szCs w:val="28"/>
              </w:rPr>
            </w:pPr>
            <w:r>
              <w:rPr>
                <w:rFonts w:hint="eastAsia" w:ascii="仿宋" w:hAnsi="仿宋" w:eastAsia="仿宋"/>
                <w:sz w:val="28"/>
                <w:szCs w:val="28"/>
                <w:lang w:val="en-US" w:eastAsia="zh-CN"/>
              </w:rPr>
              <w:t>主任</w:t>
            </w:r>
          </w:p>
        </w:tc>
        <w:tc>
          <w:tcPr>
            <w:tcW w:w="7365" w:type="dxa"/>
          </w:tcPr>
          <w:p>
            <w:pPr>
              <w:jc w:val="left"/>
              <w:rPr>
                <w:rFonts w:hint="eastAsia"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主任</w:t>
            </w:r>
            <w:r>
              <w:rPr>
                <w:rFonts w:hint="eastAsia" w:ascii="仿宋" w:hAnsi="仿宋" w:eastAsia="仿宋"/>
                <w:color w:val="000000"/>
                <w:sz w:val="28"/>
                <w:szCs w:val="28"/>
              </w:rPr>
              <w:t xml:space="preserve">签字：   </w:t>
            </w:r>
          </w:p>
          <w:p>
            <w:pPr>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bl>
    <w:p>
      <w:pPr>
        <w:sectPr>
          <w:pgSz w:w="11906" w:h="16838"/>
          <w:pgMar w:top="1270" w:right="1800" w:bottom="1100" w:left="1800" w:header="851" w:footer="992" w:gutter="0"/>
          <w:cols w:space="425" w:num="1"/>
          <w:docGrid w:type="lines" w:linePitch="312" w:charSpace="0"/>
        </w:sectPr>
      </w:pPr>
    </w:p>
    <w:p/>
    <w:sectPr>
      <w:pgSz w:w="16838" w:h="11906" w:orient="landscape"/>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embedRegular r:id="rId1" w:fontKey="{C3BA909B-B8AC-4622-966C-4674EDDB13DB}"/>
  </w:font>
  <w:font w:name="楷体_GB2312">
    <w:panose1 w:val="02010609030101010101"/>
    <w:charset w:val="86"/>
    <w:family w:val="decorative"/>
    <w:pitch w:val="default"/>
    <w:sig w:usb0="00000000" w:usb1="00000000" w:usb2="00000000" w:usb3="00000000" w:csb0="00000000" w:csb1="00000000"/>
    <w:embedRegular r:id="rId2" w:fontKey="{E1E6C307-D4F4-4240-B1D0-CFCD44B507D8}"/>
  </w:font>
  <w:font w:name="仿宋">
    <w:panose1 w:val="02010609060101010101"/>
    <w:charset w:val="86"/>
    <w:family w:val="decorative"/>
    <w:pitch w:val="default"/>
    <w:sig w:usb0="800002BF" w:usb1="38CF7CFA" w:usb2="00000016" w:usb3="00000000" w:csb0="00040001" w:csb1="00000000"/>
    <w:embedRegular r:id="rId3" w:fontKey="{C17A8FBC-C31F-4016-900F-9D8CB64FADA2}"/>
  </w:font>
  <w:font w:name="仿宋_GB2312">
    <w:panose1 w:val="02010609030101010101"/>
    <w:charset w:val="86"/>
    <w:family w:val="decorative"/>
    <w:pitch w:val="default"/>
    <w:sig w:usb0="00000000" w:usb1="00000000" w:usb2="00000000" w:usb3="00000000" w:csb0="00000000" w:csb1="00000000"/>
    <w:embedRegular r:id="rId4" w:fontKey="{B0FEA308-CE91-43ED-9439-E940F4A2DFDA}"/>
  </w:font>
  <w:font w:name="新宋体">
    <w:panose1 w:val="02010609030101010101"/>
    <w:charset w:val="86"/>
    <w:family w:val="auto"/>
    <w:pitch w:val="default"/>
    <w:sig w:usb0="00000283" w:usb1="288F0000" w:usb2="00000006" w:usb3="00000000" w:csb0="00040001" w:csb1="00000000"/>
    <w:embedRegular r:id="rId5" w:fontKey="{48E3EB79-1F77-4104-8FBF-1B2F2509EB78}"/>
  </w:font>
  <w:font w:name="仿宋_GB2312">
    <w:panose1 w:val="02010609030101010101"/>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5AAE"/>
    <w:multiLevelType w:val="singleLevel"/>
    <w:tmpl w:val="14335AAE"/>
    <w:lvl w:ilvl="0" w:tentative="0">
      <w:start w:val="1"/>
      <w:numFmt w:val="chineseCounting"/>
      <w:suff w:val="nothing"/>
      <w:lvlText w:val="（%1）"/>
      <w:lvlJc w:val="left"/>
      <w:rPr>
        <w:rFonts w:hint="eastAsia"/>
      </w:rPr>
    </w:lvl>
  </w:abstractNum>
  <w:abstractNum w:abstractNumId="1">
    <w:nsid w:val="5BF5FF3C"/>
    <w:multiLevelType w:val="singleLevel"/>
    <w:tmpl w:val="5BF5FF3C"/>
    <w:lvl w:ilvl="0" w:tentative="0">
      <w:start w:val="8"/>
      <w:numFmt w:val="chineseCounting"/>
      <w:suff w:val="nothing"/>
      <w:lvlText w:val="%1、"/>
      <w:lvlJc w:val="left"/>
      <w:rPr>
        <w:rFonts w:hint="eastAsia"/>
      </w:rPr>
    </w:lvl>
  </w:abstractNum>
  <w:abstractNum w:abstractNumId="2">
    <w:nsid w:val="7B60A8B0"/>
    <w:multiLevelType w:val="singleLevel"/>
    <w:tmpl w:val="7B60A8B0"/>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DY2MjVlYzlkYjg4ZjY0YzMxZjdlMjI0MTAyZmUifQ=="/>
  </w:docVars>
  <w:rsids>
    <w:rsidRoot w:val="00000000"/>
    <w:rsid w:val="010E0C0C"/>
    <w:rsid w:val="017A2A5B"/>
    <w:rsid w:val="01FA47FF"/>
    <w:rsid w:val="02CF0958"/>
    <w:rsid w:val="04943389"/>
    <w:rsid w:val="04C11266"/>
    <w:rsid w:val="059D2976"/>
    <w:rsid w:val="07C81664"/>
    <w:rsid w:val="07CE5427"/>
    <w:rsid w:val="083E11BD"/>
    <w:rsid w:val="096133B5"/>
    <w:rsid w:val="0B915894"/>
    <w:rsid w:val="0DA17F36"/>
    <w:rsid w:val="0EBD51B0"/>
    <w:rsid w:val="0EF14571"/>
    <w:rsid w:val="177B4273"/>
    <w:rsid w:val="17996410"/>
    <w:rsid w:val="17AC6801"/>
    <w:rsid w:val="17FF1E1E"/>
    <w:rsid w:val="182A0BB0"/>
    <w:rsid w:val="18992E44"/>
    <w:rsid w:val="1C297D63"/>
    <w:rsid w:val="1E5E7A6C"/>
    <w:rsid w:val="1E832795"/>
    <w:rsid w:val="1F0C1276"/>
    <w:rsid w:val="1F914ECB"/>
    <w:rsid w:val="202743B3"/>
    <w:rsid w:val="21BC3427"/>
    <w:rsid w:val="21FC7971"/>
    <w:rsid w:val="233C2C53"/>
    <w:rsid w:val="23E547BB"/>
    <w:rsid w:val="24765B0F"/>
    <w:rsid w:val="250B41DC"/>
    <w:rsid w:val="25B008FC"/>
    <w:rsid w:val="25D71592"/>
    <w:rsid w:val="260026D3"/>
    <w:rsid w:val="28101DD7"/>
    <w:rsid w:val="2AFA28CA"/>
    <w:rsid w:val="2C02412C"/>
    <w:rsid w:val="2C710D63"/>
    <w:rsid w:val="2C9137DF"/>
    <w:rsid w:val="2CB14ADE"/>
    <w:rsid w:val="2DCE36CB"/>
    <w:rsid w:val="2DEA4E78"/>
    <w:rsid w:val="2E7C2C8F"/>
    <w:rsid w:val="2FA5374C"/>
    <w:rsid w:val="2FCC2E88"/>
    <w:rsid w:val="31AE1506"/>
    <w:rsid w:val="32764F2C"/>
    <w:rsid w:val="32B31CDC"/>
    <w:rsid w:val="33B71CA0"/>
    <w:rsid w:val="34D425B1"/>
    <w:rsid w:val="35B8713A"/>
    <w:rsid w:val="36163695"/>
    <w:rsid w:val="37734130"/>
    <w:rsid w:val="38566887"/>
    <w:rsid w:val="39A607ED"/>
    <w:rsid w:val="3CCA034E"/>
    <w:rsid w:val="3CE87D2E"/>
    <w:rsid w:val="3D260B30"/>
    <w:rsid w:val="3DBF00CF"/>
    <w:rsid w:val="3EB27C4D"/>
    <w:rsid w:val="3FE1257F"/>
    <w:rsid w:val="40BC08F6"/>
    <w:rsid w:val="41210361"/>
    <w:rsid w:val="41B93CC0"/>
    <w:rsid w:val="41BC0CD7"/>
    <w:rsid w:val="434D7F2B"/>
    <w:rsid w:val="44E11076"/>
    <w:rsid w:val="454669E0"/>
    <w:rsid w:val="456A6B72"/>
    <w:rsid w:val="45926BCF"/>
    <w:rsid w:val="46013725"/>
    <w:rsid w:val="461B60BF"/>
    <w:rsid w:val="475E2707"/>
    <w:rsid w:val="4B3E2891"/>
    <w:rsid w:val="4BB67E7F"/>
    <w:rsid w:val="4BDA773A"/>
    <w:rsid w:val="4F101EE2"/>
    <w:rsid w:val="517D19DC"/>
    <w:rsid w:val="51DD691E"/>
    <w:rsid w:val="52F21F55"/>
    <w:rsid w:val="53AF327B"/>
    <w:rsid w:val="550D12C8"/>
    <w:rsid w:val="55EB46B2"/>
    <w:rsid w:val="5628712E"/>
    <w:rsid w:val="56B23ED5"/>
    <w:rsid w:val="57253748"/>
    <w:rsid w:val="57BE68AA"/>
    <w:rsid w:val="57D457E5"/>
    <w:rsid w:val="57F033DB"/>
    <w:rsid w:val="58F3077A"/>
    <w:rsid w:val="5A0906EB"/>
    <w:rsid w:val="5A511C57"/>
    <w:rsid w:val="5B1630B5"/>
    <w:rsid w:val="5B365DCC"/>
    <w:rsid w:val="5C1A0D2E"/>
    <w:rsid w:val="5EFD0600"/>
    <w:rsid w:val="5FA82224"/>
    <w:rsid w:val="5FDC6467"/>
    <w:rsid w:val="60F6077A"/>
    <w:rsid w:val="61A3723C"/>
    <w:rsid w:val="620C3034"/>
    <w:rsid w:val="62A0377C"/>
    <w:rsid w:val="662941BE"/>
    <w:rsid w:val="6793565D"/>
    <w:rsid w:val="687731D1"/>
    <w:rsid w:val="693D64B5"/>
    <w:rsid w:val="6A9278B5"/>
    <w:rsid w:val="6BCD2CF0"/>
    <w:rsid w:val="6C3C2D9C"/>
    <w:rsid w:val="6D01750D"/>
    <w:rsid w:val="6E5813AF"/>
    <w:rsid w:val="6E8201DA"/>
    <w:rsid w:val="6F9B59F7"/>
    <w:rsid w:val="72514A93"/>
    <w:rsid w:val="769431A0"/>
    <w:rsid w:val="789D6AAC"/>
    <w:rsid w:val="7AA747D5"/>
    <w:rsid w:val="7BBF481B"/>
    <w:rsid w:val="7DA9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before="720" w:after="980"/>
      <w:jc w:val="center"/>
      <w:outlineLvl w:val="0"/>
    </w:pPr>
    <w:rPr>
      <w:rFonts w:ascii="MingLiU" w:hAnsi="MingLiU" w:eastAsia="MingLiU" w:cs="MingLiU"/>
      <w:sz w:val="34"/>
      <w:szCs w:val="34"/>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paragraph" w:customStyle="1" w:styleId="6">
    <w:name w:val="Table caption|1"/>
    <w:basedOn w:val="1"/>
    <w:qFormat/>
    <w:uiPriority w:val="0"/>
    <w:pPr>
      <w:widowControl w:val="0"/>
      <w:shd w:val="clear" w:color="auto" w:fill="auto"/>
      <w:jc w:val="center"/>
    </w:pPr>
    <w:rPr>
      <w:rFonts w:ascii="MingLiU" w:hAnsi="MingLiU" w:eastAsia="MingLiU" w:cs="MingLiU"/>
      <w:sz w:val="17"/>
      <w:szCs w:val="17"/>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260"/>
      <w:ind w:firstLine="440"/>
      <w:outlineLvl w:val="1"/>
    </w:pPr>
    <w:rPr>
      <w:rFonts w:ascii="MingLiU" w:hAnsi="MingLiU" w:eastAsia="MingLiU" w:cs="MingLiU"/>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character" w:customStyle="1" w:styleId="9">
    <w:name w:val="font142"/>
    <w:basedOn w:val="3"/>
    <w:qFormat/>
    <w:uiPriority w:val="0"/>
    <w:rPr>
      <w:rFonts w:hint="eastAsia" w:ascii="宋体" w:hAnsi="宋体" w:eastAsia="宋体" w:cs="宋体"/>
      <w:color w:val="000000"/>
      <w:sz w:val="21"/>
      <w:szCs w:val="21"/>
      <w:u w:val="none"/>
    </w:rPr>
  </w:style>
  <w:style w:type="character" w:customStyle="1" w:styleId="10">
    <w:name w:val="font121"/>
    <w:basedOn w:val="3"/>
    <w:qFormat/>
    <w:uiPriority w:val="0"/>
    <w:rPr>
      <w:rFonts w:hint="eastAsia" w:ascii="宋体" w:hAnsi="宋体" w:eastAsia="宋体" w:cs="宋体"/>
      <w:color w:val="000000"/>
      <w:sz w:val="18"/>
      <w:szCs w:val="18"/>
      <w:u w:val="none"/>
    </w:rPr>
  </w:style>
  <w:style w:type="character" w:customStyle="1" w:styleId="11">
    <w:name w:val="font61"/>
    <w:basedOn w:val="3"/>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6987</Words>
  <Characters>7064</Characters>
  <Lines>0</Lines>
  <Paragraphs>0</Paragraphs>
  <TotalTime>1</TotalTime>
  <ScaleCrop>false</ScaleCrop>
  <LinksUpToDate>false</LinksUpToDate>
  <CharactersWithSpaces>7318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2020-10-31T03:47:00Z</dcterms:created>
  <dc:creator>计算机工程师金磊个人安全系统</dc:creator>
  <cp:lastModifiedBy>郭汝焘焘</cp:lastModifiedBy>
  <cp:lastPrinted>2022-05-10T00:32:00Z</cp:lastPrinted>
  <dcterms:modified xsi:type="dcterms:W3CDTF">2023-05-08T01:00:59Z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B8DDD4ED2924489F852CAC2249B7CE9D</vt:lpwstr>
  </property>
</Properties>
</file>